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7C" w:rsidRDefault="0034407C" w:rsidP="00B11956">
      <w:pPr>
        <w:spacing w:before="120" w:after="120" w:line="240" w:lineRule="auto"/>
        <w:ind w:left="-284"/>
        <w:jc w:val="center"/>
        <w:rPr>
          <w:rFonts w:asciiTheme="minorHAnsi" w:hAnsiTheme="minorHAnsi"/>
          <w:b/>
          <w:bCs/>
          <w:u w:val="single"/>
        </w:rPr>
      </w:pPr>
      <w:bookmarkStart w:id="0" w:name="_GoBack"/>
      <w:bookmarkEnd w:id="0"/>
    </w:p>
    <w:p w:rsidR="0034407C" w:rsidRPr="00DE0E93" w:rsidRDefault="00C019D9" w:rsidP="0034407C">
      <w:pPr>
        <w:spacing w:before="120" w:after="120" w:line="240" w:lineRule="auto"/>
        <w:rPr>
          <w:rFonts w:asciiTheme="minorHAnsi" w:hAnsiTheme="minorHAnsi"/>
        </w:rPr>
      </w:pPr>
      <w:r>
        <w:rPr>
          <w:rFonts w:asciiTheme="minorHAnsi" w:hAnsiTheme="minorHAnsi"/>
          <w:i/>
          <w:noProof/>
          <w:u w:val="single"/>
          <w:lang w:val="en-US" w:bidi="ar-SA"/>
        </w:rPr>
        <mc:AlternateContent>
          <mc:Choice Requires="wps">
            <w:drawing>
              <wp:anchor distT="0" distB="0" distL="114300" distR="114300" simplePos="0" relativeHeight="251658240" behindDoc="0" locked="0" layoutInCell="1" allowOverlap="1">
                <wp:simplePos x="0" y="0"/>
                <wp:positionH relativeFrom="column">
                  <wp:posOffset>2046605</wp:posOffset>
                </wp:positionH>
                <wp:positionV relativeFrom="paragraph">
                  <wp:posOffset>159385</wp:posOffset>
                </wp:positionV>
                <wp:extent cx="542925" cy="2476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29FF0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F927" id="Rectangle 3" o:spid="_x0000_s1026" style="position:absolute;margin-left:161.15pt;margin-top:12.55pt;width:42.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" fillcolor="#29ff05"/>
            </w:pict>
          </mc:Fallback>
        </mc:AlternateContent>
      </w:r>
    </w:p>
    <w:p w:rsidR="0034407C" w:rsidRPr="0034407C" w:rsidRDefault="0034407C" w:rsidP="0034407C">
      <w:pPr>
        <w:spacing w:before="120" w:after="120" w:line="240" w:lineRule="auto"/>
        <w:rPr>
          <w:rFonts w:asciiTheme="minorHAnsi" w:hAnsiTheme="minorHAnsi"/>
          <w:i/>
          <w:u w:val="single"/>
        </w:rPr>
      </w:pPr>
      <w:r w:rsidRPr="0034407C">
        <w:rPr>
          <w:rFonts w:asciiTheme="minorHAnsi" w:hAnsiTheme="minorHAnsi"/>
          <w:i/>
          <w:u w:val="single"/>
        </w:rPr>
        <w:t>The areas highlighted in green                  are Department/ PSU specific. You are requested to rea</w:t>
      </w:r>
      <w:r w:rsidR="00503C44">
        <w:rPr>
          <w:rFonts w:asciiTheme="minorHAnsi" w:hAnsiTheme="minorHAnsi"/>
          <w:i/>
          <w:u w:val="single"/>
        </w:rPr>
        <w:t xml:space="preserve">d the entire document </w:t>
      </w:r>
      <w:r w:rsidRPr="0034407C">
        <w:rPr>
          <w:rFonts w:asciiTheme="minorHAnsi" w:hAnsiTheme="minorHAnsi"/>
          <w:i/>
          <w:u w:val="single"/>
        </w:rPr>
        <w:t xml:space="preserve">and fill the relevant areas with details specific to your office. </w:t>
      </w:r>
    </w:p>
    <w:p w:rsidR="00310303" w:rsidRDefault="00310303" w:rsidP="00310303">
      <w:pPr>
        <w:spacing w:before="120" w:after="120" w:line="240" w:lineRule="auto"/>
        <w:ind w:left="-284"/>
        <w:jc w:val="center"/>
        <w:rPr>
          <w:rFonts w:asciiTheme="minorHAnsi" w:hAnsiTheme="minorHAnsi"/>
          <w:b/>
          <w:bCs/>
          <w:u w:val="single"/>
        </w:rPr>
      </w:pPr>
    </w:p>
    <w:p w:rsidR="00310303" w:rsidRDefault="00310303" w:rsidP="00310303">
      <w:pPr>
        <w:spacing w:before="120" w:after="120" w:line="240" w:lineRule="auto"/>
        <w:ind w:left="-284"/>
        <w:jc w:val="center"/>
        <w:rPr>
          <w:rFonts w:asciiTheme="minorHAnsi" w:hAnsiTheme="minorHAnsi"/>
          <w:b/>
          <w:bCs/>
          <w:u w:val="single"/>
        </w:rPr>
      </w:pPr>
    </w:p>
    <w:p w:rsidR="00310303" w:rsidRDefault="00310303" w:rsidP="00310303">
      <w:pPr>
        <w:spacing w:before="120" w:after="120" w:line="240" w:lineRule="auto"/>
        <w:ind w:left="-284"/>
        <w:jc w:val="center"/>
        <w:rPr>
          <w:rFonts w:asciiTheme="minorHAnsi" w:hAnsiTheme="minorHAnsi"/>
          <w:b/>
          <w:bCs/>
          <w:u w:val="single"/>
        </w:rPr>
      </w:pPr>
      <w:r>
        <w:rPr>
          <w:rFonts w:asciiTheme="minorHAnsi" w:hAnsiTheme="minorHAnsi"/>
          <w:b/>
          <w:bCs/>
          <w:u w:val="single"/>
        </w:rPr>
        <w:t>General Tender Terms &amp; C</w:t>
      </w:r>
      <w:r w:rsidRPr="00AC4122">
        <w:rPr>
          <w:rFonts w:asciiTheme="minorHAnsi" w:hAnsiTheme="minorHAnsi"/>
          <w:b/>
          <w:bCs/>
          <w:u w:val="single"/>
        </w:rPr>
        <w:t>onditions for e-Procurement</w:t>
      </w:r>
    </w:p>
    <w:p w:rsidR="0034407C" w:rsidRDefault="0034407C" w:rsidP="00B11956">
      <w:pPr>
        <w:spacing w:before="120" w:after="120" w:line="240" w:lineRule="auto"/>
        <w:ind w:left="-284"/>
        <w:jc w:val="center"/>
        <w:rPr>
          <w:rFonts w:asciiTheme="minorHAnsi" w:hAnsiTheme="minorHAnsi"/>
          <w:b/>
          <w:bCs/>
          <w:u w:val="single"/>
        </w:rPr>
      </w:pPr>
    </w:p>
    <w:p w:rsidR="00F561C1" w:rsidRPr="00AC4122" w:rsidRDefault="00F561C1" w:rsidP="0034407C">
      <w:pPr>
        <w:tabs>
          <w:tab w:val="left" w:pos="1956"/>
        </w:tabs>
        <w:spacing w:before="120" w:after="120" w:line="240" w:lineRule="auto"/>
        <w:ind w:left="-284"/>
        <w:rPr>
          <w:rFonts w:asciiTheme="minorHAnsi" w:hAnsiTheme="minorHAnsi"/>
        </w:rPr>
      </w:pPr>
      <w:r w:rsidRPr="00AC4122">
        <w:rPr>
          <w:rFonts w:asciiTheme="minorHAnsi" w:hAnsiTheme="minorHAnsi"/>
        </w:rPr>
        <w:t xml:space="preserve">This tender is an e-Tender and is being published online for the </w:t>
      </w:r>
      <w:r w:rsidRPr="008E2A7E">
        <w:rPr>
          <w:rFonts w:asciiTheme="minorHAnsi" w:hAnsiTheme="minorHAnsi"/>
          <w:highlight w:val="green"/>
        </w:rPr>
        <w:t>&lt;</w:t>
      </w:r>
      <w:r w:rsidR="0088485D" w:rsidRPr="0088485D">
        <w:rPr>
          <w:rFonts w:asciiTheme="minorHAnsi" w:hAnsiTheme="minorHAnsi"/>
          <w:i/>
          <w:iCs/>
          <w:highlight w:val="green"/>
        </w:rPr>
        <w:t>Name of Work/ Supplies</w:t>
      </w:r>
      <w:r w:rsidRPr="008E2A7E">
        <w:rPr>
          <w:rFonts w:asciiTheme="minorHAnsi" w:hAnsiTheme="minorHAnsi"/>
          <w:highlight w:val="green"/>
        </w:rPr>
        <w:t>&gt;.</w:t>
      </w:r>
      <w:r w:rsidRPr="00AC4122">
        <w:rPr>
          <w:rFonts w:asciiTheme="minorHAnsi" w:hAnsiTheme="minorHAnsi"/>
        </w:rPr>
        <w:t xml:space="preserve"> The tender is invited in </w:t>
      </w:r>
      <w:r w:rsidRPr="008E2A7E">
        <w:rPr>
          <w:rFonts w:asciiTheme="minorHAnsi" w:hAnsiTheme="minorHAnsi"/>
          <w:highlight w:val="green"/>
        </w:rPr>
        <w:t>&lt;</w:t>
      </w:r>
      <w:r w:rsidR="0088485D" w:rsidRPr="0088485D">
        <w:rPr>
          <w:rFonts w:asciiTheme="minorHAnsi" w:hAnsiTheme="minorHAnsi"/>
          <w:i/>
          <w:iCs/>
          <w:highlight w:val="green"/>
        </w:rPr>
        <w:t>no.</w:t>
      </w:r>
      <w:r w:rsidRPr="008E2A7E">
        <w:rPr>
          <w:rFonts w:asciiTheme="minorHAnsi" w:hAnsiTheme="minorHAnsi"/>
          <w:highlight w:val="green"/>
        </w:rPr>
        <w:t>&gt;</w:t>
      </w:r>
      <w:r w:rsidRPr="00AC4122">
        <w:rPr>
          <w:rFonts w:asciiTheme="minorHAnsi" w:hAnsiTheme="minorHAnsi"/>
        </w:rPr>
        <w:t xml:space="preserve"> cover system from the registered and eligible firms through e-procurement portal of Government of Kerala (</w:t>
      </w:r>
      <w:hyperlink w:history="1">
        <w:r w:rsidRPr="00AC4122">
          <w:rPr>
            <w:rStyle w:val="Hyperlink"/>
            <w:rFonts w:asciiTheme="minorHAnsi" w:hAnsiTheme="minorHAnsi"/>
          </w:rPr>
          <w:t>https://</w:t>
        </w:r>
      </w:hyperlink>
      <w:hyperlink r:id="rId6" w:history="1">
        <w:r w:rsidR="00D16F6C">
          <w:rPr>
            <w:rStyle w:val="Hyperlink"/>
            <w:rFonts w:asciiTheme="minorHAnsi" w:hAnsiTheme="minorHAnsi"/>
          </w:rPr>
          <w:t>www.etenders.kerala.gov.in</w:t>
        </w:r>
      </w:hyperlink>
      <w:r w:rsidRPr="00AC4122">
        <w:rPr>
          <w:rFonts w:asciiTheme="minorHAnsi" w:hAnsiTheme="minorHAnsi"/>
        </w:rPr>
        <w:t xml:space="preserve">). Prospective </w:t>
      </w:r>
      <w:r w:rsidR="0088485D" w:rsidRPr="0088485D">
        <w:rPr>
          <w:rFonts w:asciiTheme="minorHAnsi" w:hAnsiTheme="minorHAnsi"/>
        </w:rPr>
        <w:t>bidders willing to participate in this tender shall necessarily register themselves with above mentioned e-procurement portal.</w:t>
      </w:r>
    </w:p>
    <w:p w:rsidR="001677E4" w:rsidRPr="00AC4122" w:rsidRDefault="001677E4" w:rsidP="00B11956">
      <w:pPr>
        <w:spacing w:before="120" w:after="120" w:line="240" w:lineRule="auto"/>
        <w:ind w:left="-284"/>
        <w:rPr>
          <w:rFonts w:asciiTheme="minorHAnsi" w:hAnsiTheme="minorHAnsi"/>
        </w:rPr>
      </w:pPr>
    </w:p>
    <w:p w:rsidR="001677E4" w:rsidRPr="00AC4122" w:rsidRDefault="0088485D" w:rsidP="00B11956">
      <w:pPr>
        <w:spacing w:before="120" w:after="120" w:line="240" w:lineRule="auto"/>
        <w:ind w:left="-284"/>
        <w:rPr>
          <w:rFonts w:asciiTheme="minorHAnsi" w:hAnsiTheme="minorHAnsi"/>
        </w:rPr>
      </w:pPr>
      <w:r w:rsidRPr="0088485D">
        <w:rPr>
          <w:rFonts w:asciiTheme="minorHAnsi" w:hAnsiTheme="minorHAnsi"/>
        </w:rPr>
        <w:t xml:space="preserve">The tender timeline is available in the critical date section of this tender published in </w:t>
      </w:r>
      <w:hyperlink r:id="rId7" w:history="1">
        <w:r w:rsidR="00F561C1" w:rsidRPr="00AC4122">
          <w:rPr>
            <w:rStyle w:val="Hyperlink"/>
            <w:rFonts w:asciiTheme="minorHAnsi" w:hAnsiTheme="minorHAnsi"/>
          </w:rPr>
          <w:t>www.etenders.kerala.gov.in</w:t>
        </w:r>
      </w:hyperlink>
      <w:r w:rsidR="00F561C1" w:rsidRPr="00AC4122">
        <w:rPr>
          <w:rFonts w:asciiTheme="minorHAnsi" w:hAnsiTheme="minorHAnsi"/>
        </w:rPr>
        <w:t>.</w:t>
      </w:r>
    </w:p>
    <w:p w:rsidR="001677E4" w:rsidRPr="00AC4122" w:rsidRDefault="001677E4" w:rsidP="00B11956">
      <w:pPr>
        <w:spacing w:before="120" w:after="120" w:line="240" w:lineRule="auto"/>
        <w:ind w:left="-284"/>
        <w:rPr>
          <w:rFonts w:asciiTheme="minorHAnsi" w:hAnsiTheme="minorHAnsi"/>
        </w:rPr>
      </w:pPr>
    </w:p>
    <w:p w:rsidR="00DE0E93" w:rsidRPr="00AC4122" w:rsidRDefault="0088485D" w:rsidP="00B11956">
      <w:pPr>
        <w:pStyle w:val="ListParagraph"/>
        <w:numPr>
          <w:ilvl w:val="0"/>
          <w:numId w:val="8"/>
        </w:numPr>
        <w:spacing w:before="120" w:after="120" w:line="240" w:lineRule="auto"/>
        <w:ind w:hanging="720"/>
        <w:rPr>
          <w:rFonts w:asciiTheme="minorHAnsi" w:hAnsiTheme="minorHAnsi"/>
          <w:b/>
          <w:bCs/>
        </w:rPr>
      </w:pPr>
      <w:r w:rsidRPr="0088485D">
        <w:rPr>
          <w:rFonts w:asciiTheme="minorHAnsi" w:hAnsiTheme="minorHAnsi"/>
          <w:b/>
          <w:bCs/>
        </w:rPr>
        <w:t>Online Bidder registration process:</w:t>
      </w:r>
    </w:p>
    <w:p w:rsidR="00DE0E93" w:rsidRPr="00AC4122" w:rsidRDefault="00DE0E93" w:rsidP="00B11956">
      <w:pPr>
        <w:spacing w:before="120" w:after="120" w:line="240" w:lineRule="auto"/>
        <w:rPr>
          <w:rFonts w:asciiTheme="minorHAnsi" w:hAnsiTheme="minorHAnsi"/>
          <w:b/>
          <w:bCs/>
        </w:rPr>
      </w:pPr>
    </w:p>
    <w:p w:rsidR="00DE0E93" w:rsidRPr="00AC4122" w:rsidRDefault="0088485D" w:rsidP="00B11956">
      <w:pPr>
        <w:spacing w:before="120" w:after="120" w:line="240" w:lineRule="auto"/>
        <w:rPr>
          <w:rFonts w:asciiTheme="minorHAnsi" w:hAnsiTheme="minorHAnsi"/>
        </w:rPr>
      </w:pPr>
      <w:r w:rsidRPr="0088485D">
        <w:rPr>
          <w:rFonts w:asciiTheme="minorHAnsi" w:hAnsiTheme="minorHAnsi"/>
        </w:rPr>
        <w:t xml:space="preserve">Bidders should have a Class II or above Digital Signature Certificate (DSC) to be procured from any Registration Authorities (RA) under the Certifying Agency of India. Details of RAs will be available on </w:t>
      </w:r>
      <w:hyperlink r:id="rId8" w:history="1">
        <w:r w:rsidR="00754B5A" w:rsidRPr="00AC4122">
          <w:rPr>
            <w:rStyle w:val="Hyperlink"/>
            <w:rFonts w:asciiTheme="minorHAnsi" w:hAnsiTheme="minorHAnsi"/>
          </w:rPr>
          <w:t>www.cca.gov.in</w:t>
        </w:r>
      </w:hyperlink>
      <w:r w:rsidR="00754B5A" w:rsidRPr="00AC4122">
        <w:rPr>
          <w:rFonts w:asciiTheme="minorHAnsi" w:hAnsiTheme="minorHAnsi"/>
        </w:rPr>
        <w:t xml:space="preserve">. Once, the DSC is obtained, </w:t>
      </w:r>
      <w:r w:rsidRPr="0088485D">
        <w:rPr>
          <w:rFonts w:asciiTheme="minorHAnsi" w:hAnsiTheme="minorHAnsi"/>
        </w:rPr>
        <w:t xml:space="preserve">bidders have to register on </w:t>
      </w:r>
      <w:hyperlink r:id="rId9" w:history="1">
        <w:r w:rsidR="00DE0E93" w:rsidRPr="00AC4122">
          <w:rPr>
            <w:rStyle w:val="Hyperlink"/>
            <w:rFonts w:asciiTheme="minorHAnsi" w:hAnsiTheme="minorHAnsi"/>
          </w:rPr>
          <w:t>www.etenders.kerala.gov.in</w:t>
        </w:r>
      </w:hyperlink>
      <w:r w:rsidR="00DE0E93" w:rsidRPr="00AC4122">
        <w:rPr>
          <w:rFonts w:asciiTheme="minorHAnsi" w:hAnsiTheme="minorHAnsi"/>
        </w:rPr>
        <w:t xml:space="preserve"> website for participating in this tender. Website registration is a one-time process without any registration fees. However, </w:t>
      </w:r>
      <w:r w:rsidRPr="0088485D">
        <w:rPr>
          <w:rFonts w:asciiTheme="minorHAnsi" w:hAnsiTheme="minorHAnsi"/>
        </w:rPr>
        <w:t>bidders have to procure DSC at their own cost.</w:t>
      </w:r>
    </w:p>
    <w:p w:rsidR="00DE0E93" w:rsidRPr="00AC4122" w:rsidRDefault="0088485D" w:rsidP="00B11956">
      <w:pPr>
        <w:spacing w:before="120" w:after="120"/>
        <w:rPr>
          <w:rFonts w:asciiTheme="minorHAnsi" w:hAnsiTheme="minorHAnsi"/>
        </w:rPr>
      </w:pPr>
      <w:r w:rsidRPr="0088485D">
        <w:rPr>
          <w:rFonts w:asciiTheme="minorHAnsi" w:hAnsiTheme="minorHAnsi"/>
        </w:rPr>
        <w:t xml:space="preserve">Bidders may contact e-Procurement support desk of Kerala State IT Mission over telephone at </w:t>
      </w:r>
      <w:r w:rsidR="005904C9">
        <w:rPr>
          <w:rStyle w:val="sender"/>
        </w:rPr>
        <w:t xml:space="preserve">0471-2577088/188/388 or 0484-2336006, 2332262 or 0497-2764788, 2764188 or 0483-273294 or </w:t>
      </w:r>
      <w:r w:rsidRPr="0088485D">
        <w:rPr>
          <w:rFonts w:asciiTheme="minorHAnsi" w:hAnsiTheme="minorHAnsi"/>
        </w:rPr>
        <w:t xml:space="preserve"> through email: </w:t>
      </w:r>
      <w:hyperlink r:id="rId10" w:history="1">
        <w:r w:rsidR="004413BB" w:rsidRPr="0041480C">
          <w:rPr>
            <w:rStyle w:val="Hyperlink"/>
            <w:rFonts w:asciiTheme="minorHAnsi" w:hAnsiTheme="minorHAnsi"/>
          </w:rPr>
          <w:t>etendershelp@kerala.gov.in</w:t>
        </w:r>
      </w:hyperlink>
      <w:r w:rsidR="004413BB">
        <w:rPr>
          <w:rFonts w:asciiTheme="minorHAnsi" w:hAnsiTheme="minorHAnsi"/>
        </w:rPr>
        <w:t xml:space="preserve"> or </w:t>
      </w:r>
      <w:hyperlink r:id="rId11" w:history="1">
        <w:r w:rsidR="004413BB" w:rsidRPr="0041480C">
          <w:rPr>
            <w:rStyle w:val="Hyperlink"/>
            <w:rFonts w:asciiTheme="minorHAnsi" w:hAnsiTheme="minorHAnsi"/>
          </w:rPr>
          <w:t>helpetender@gmail.com</w:t>
        </w:r>
      </w:hyperlink>
      <w:r w:rsidR="004413BB">
        <w:rPr>
          <w:rFonts w:asciiTheme="minorHAnsi" w:hAnsiTheme="minorHAnsi"/>
        </w:rPr>
        <w:t xml:space="preserve"> </w:t>
      </w:r>
      <w:r w:rsidRPr="0088485D">
        <w:rPr>
          <w:rFonts w:asciiTheme="minorHAnsi" w:hAnsiTheme="minorHAnsi"/>
        </w:rPr>
        <w:t>for assistance in this regard.</w:t>
      </w:r>
    </w:p>
    <w:p w:rsidR="00DE0E93" w:rsidRPr="00AC4122" w:rsidRDefault="00DE0E93" w:rsidP="00B11956">
      <w:pPr>
        <w:spacing w:before="120" w:after="120" w:line="240" w:lineRule="auto"/>
        <w:rPr>
          <w:rFonts w:asciiTheme="minorHAnsi" w:hAnsiTheme="minorHAnsi"/>
          <w:b/>
          <w:bCs/>
        </w:rPr>
      </w:pPr>
    </w:p>
    <w:p w:rsidR="001677E4" w:rsidRPr="00AC4122" w:rsidRDefault="0088485D" w:rsidP="00B11956">
      <w:pPr>
        <w:pStyle w:val="ListParagraph"/>
        <w:numPr>
          <w:ilvl w:val="0"/>
          <w:numId w:val="8"/>
        </w:numPr>
        <w:spacing w:before="120" w:after="120" w:line="240" w:lineRule="auto"/>
        <w:ind w:hanging="720"/>
        <w:rPr>
          <w:rFonts w:asciiTheme="minorHAnsi" w:hAnsiTheme="minorHAnsi"/>
          <w:b/>
          <w:bCs/>
        </w:rPr>
      </w:pPr>
      <w:r w:rsidRPr="0088485D">
        <w:rPr>
          <w:rFonts w:asciiTheme="minorHAnsi" w:hAnsiTheme="minorHAnsi"/>
          <w:b/>
          <w:bCs/>
        </w:rPr>
        <w:t>Online Tender Process:</w:t>
      </w:r>
    </w:p>
    <w:p w:rsidR="001677E4" w:rsidRPr="00AC4122" w:rsidRDefault="0088485D" w:rsidP="00B11956">
      <w:pPr>
        <w:spacing w:before="120" w:after="120" w:line="240" w:lineRule="auto"/>
        <w:ind w:left="-284"/>
        <w:rPr>
          <w:rFonts w:asciiTheme="minorHAnsi" w:hAnsiTheme="minorHAnsi"/>
        </w:rPr>
      </w:pPr>
      <w:r w:rsidRPr="0088485D">
        <w:rPr>
          <w:rFonts w:asciiTheme="minorHAnsi" w:hAnsiTheme="minorHAnsi"/>
        </w:rPr>
        <w:t xml:space="preserve">The tender process shall consist of the following stages: </w:t>
      </w:r>
    </w:p>
    <w:p w:rsidR="001677E4" w:rsidRPr="00AC4122" w:rsidRDefault="001677E4" w:rsidP="00B11956">
      <w:pPr>
        <w:spacing w:before="120" w:after="120" w:line="240" w:lineRule="auto"/>
        <w:ind w:left="-284"/>
        <w:rPr>
          <w:rFonts w:asciiTheme="minorHAnsi" w:hAnsiTheme="minorHAnsi"/>
        </w:rPr>
      </w:pPr>
    </w:p>
    <w:p w:rsidR="001677E4" w:rsidRPr="00AC4122" w:rsidRDefault="0088485D" w:rsidP="00B11956">
      <w:pPr>
        <w:numPr>
          <w:ilvl w:val="0"/>
          <w:numId w:val="2"/>
        </w:numPr>
        <w:spacing w:before="120" w:after="120" w:line="240" w:lineRule="auto"/>
        <w:ind w:left="425" w:hanging="284"/>
        <w:rPr>
          <w:rFonts w:asciiTheme="minorHAnsi" w:hAnsiTheme="minorHAnsi"/>
        </w:rPr>
      </w:pPr>
      <w:r w:rsidRPr="0088485D">
        <w:rPr>
          <w:rFonts w:asciiTheme="minorHAnsi" w:hAnsiTheme="minorHAnsi"/>
          <w:b/>
          <w:bCs/>
        </w:rPr>
        <w:t>Downloading of tender document</w:t>
      </w:r>
      <w:r w:rsidRPr="0088485D">
        <w:rPr>
          <w:rFonts w:asciiTheme="minorHAnsi" w:hAnsiTheme="minorHAnsi"/>
        </w:rPr>
        <w:t xml:space="preserve">: Tender document will be available for free download on </w:t>
      </w:r>
      <w:hyperlink r:id="rId12" w:history="1">
        <w:r w:rsidR="001677E4" w:rsidRPr="00AC4122">
          <w:rPr>
            <w:rStyle w:val="Hyperlink"/>
            <w:rFonts w:asciiTheme="minorHAnsi" w:hAnsiTheme="minorHAnsi"/>
          </w:rPr>
          <w:t>www.etenders.kerala.gov.in</w:t>
        </w:r>
      </w:hyperlink>
      <w:r w:rsidR="001677E4" w:rsidRPr="00AC4122">
        <w:rPr>
          <w:rFonts w:asciiTheme="minorHAnsi" w:hAnsiTheme="minorHAnsi"/>
        </w:rPr>
        <w:t>.</w:t>
      </w:r>
      <w:r w:rsidR="00AF32B2" w:rsidRPr="00AC4122">
        <w:rPr>
          <w:rFonts w:asciiTheme="minorHAnsi" w:hAnsiTheme="minorHAnsi"/>
        </w:rPr>
        <w:t xml:space="preserve"> However, tender document fees shall be payable at the time of bid submission as stipulated in this tender document.</w:t>
      </w:r>
    </w:p>
    <w:p w:rsidR="001677E4" w:rsidRPr="00AC4122" w:rsidRDefault="0088485D" w:rsidP="00B11956">
      <w:pPr>
        <w:numPr>
          <w:ilvl w:val="0"/>
          <w:numId w:val="2"/>
        </w:numPr>
        <w:spacing w:before="120" w:after="120" w:line="240" w:lineRule="auto"/>
        <w:ind w:left="425" w:hanging="284"/>
        <w:rPr>
          <w:rFonts w:asciiTheme="minorHAnsi" w:hAnsiTheme="minorHAnsi"/>
        </w:rPr>
      </w:pPr>
      <w:r w:rsidRPr="0088485D">
        <w:rPr>
          <w:rFonts w:asciiTheme="minorHAnsi" w:hAnsiTheme="minorHAnsi"/>
          <w:b/>
          <w:bCs/>
        </w:rPr>
        <w:t>Pre-bid meeting</w:t>
      </w:r>
      <w:r w:rsidRPr="0088485D">
        <w:rPr>
          <w:rFonts w:asciiTheme="minorHAnsi" w:hAnsiTheme="minorHAnsi"/>
        </w:rPr>
        <w:t xml:space="preserve">: </w:t>
      </w:r>
      <w:r w:rsidRPr="0088485D">
        <w:rPr>
          <w:rFonts w:asciiTheme="minorHAnsi" w:hAnsiTheme="minorHAnsi"/>
          <w:highlight w:val="green"/>
        </w:rPr>
        <w:t>&lt;</w:t>
      </w:r>
      <w:r w:rsidRPr="0088485D">
        <w:rPr>
          <w:rFonts w:asciiTheme="minorHAnsi" w:hAnsiTheme="minorHAnsi"/>
          <w:i/>
          <w:iCs/>
          <w:highlight w:val="green"/>
        </w:rPr>
        <w:t>As per department’s requirement</w:t>
      </w:r>
      <w:r w:rsidR="001677E4" w:rsidRPr="008E2A7E">
        <w:rPr>
          <w:rFonts w:asciiTheme="minorHAnsi" w:hAnsiTheme="minorHAnsi"/>
          <w:highlight w:val="green"/>
        </w:rPr>
        <w:t>&gt;</w:t>
      </w:r>
    </w:p>
    <w:p w:rsidR="001677E4" w:rsidRPr="00AC4122" w:rsidRDefault="001677E4" w:rsidP="00B11956">
      <w:pPr>
        <w:numPr>
          <w:ilvl w:val="0"/>
          <w:numId w:val="2"/>
        </w:numPr>
        <w:spacing w:before="120" w:after="120" w:line="240" w:lineRule="auto"/>
        <w:ind w:left="425" w:hanging="284"/>
        <w:rPr>
          <w:rFonts w:asciiTheme="minorHAnsi" w:hAnsiTheme="minorHAnsi"/>
        </w:rPr>
      </w:pPr>
      <w:r w:rsidRPr="00AC4122">
        <w:rPr>
          <w:rFonts w:asciiTheme="minorHAnsi" w:hAnsiTheme="minorHAnsi"/>
          <w:b/>
          <w:bCs/>
        </w:rPr>
        <w:lastRenderedPageBreak/>
        <w:t>Publishing of Corrigendum</w:t>
      </w:r>
      <w:r w:rsidR="0088485D" w:rsidRPr="0088485D">
        <w:rPr>
          <w:rFonts w:asciiTheme="minorHAnsi" w:hAnsiTheme="minorHAnsi"/>
        </w:rPr>
        <w:t xml:space="preserve">: All corrigenda shall be published on </w:t>
      </w:r>
      <w:hyperlink r:id="rId13" w:history="1">
        <w:r w:rsidRPr="00AC4122">
          <w:rPr>
            <w:rStyle w:val="Hyperlink"/>
            <w:rFonts w:asciiTheme="minorHAnsi" w:hAnsiTheme="minorHAnsi"/>
          </w:rPr>
          <w:t>www.etenders.kerala.gov.in</w:t>
        </w:r>
      </w:hyperlink>
      <w:r w:rsidRPr="00AC4122">
        <w:rPr>
          <w:rFonts w:asciiTheme="minorHAnsi" w:hAnsiTheme="minorHAnsi"/>
        </w:rPr>
        <w:t xml:space="preserve"> and shall not be available elsewhere.</w:t>
      </w:r>
    </w:p>
    <w:p w:rsidR="001677E4" w:rsidRPr="00AC4122" w:rsidRDefault="0088485D" w:rsidP="00B11956">
      <w:pPr>
        <w:numPr>
          <w:ilvl w:val="0"/>
          <w:numId w:val="2"/>
        </w:numPr>
        <w:spacing w:before="120" w:after="120" w:line="240" w:lineRule="auto"/>
        <w:ind w:left="425" w:hanging="284"/>
        <w:rPr>
          <w:rFonts w:asciiTheme="minorHAnsi" w:hAnsiTheme="minorHAnsi"/>
        </w:rPr>
      </w:pPr>
      <w:r w:rsidRPr="0088485D">
        <w:rPr>
          <w:rFonts w:asciiTheme="minorHAnsi" w:hAnsiTheme="minorHAnsi"/>
          <w:b/>
          <w:bCs/>
        </w:rPr>
        <w:t>Bid submission</w:t>
      </w:r>
      <w:r w:rsidRPr="0088485D">
        <w:rPr>
          <w:rFonts w:asciiTheme="minorHAnsi" w:hAnsiTheme="minorHAnsi"/>
        </w:rPr>
        <w:t xml:space="preserve">: Bidders have to submit their bids along with supporting documents to support their eligibility, as required in this tender document on </w:t>
      </w:r>
      <w:hyperlink r:id="rId14" w:history="1">
        <w:r w:rsidR="001677E4" w:rsidRPr="00AC4122">
          <w:rPr>
            <w:rStyle w:val="Hyperlink"/>
            <w:rFonts w:asciiTheme="minorHAnsi" w:hAnsiTheme="minorHAnsi"/>
          </w:rPr>
          <w:t>www.etenders.kerala.gov.in</w:t>
        </w:r>
      </w:hyperlink>
      <w:r w:rsidR="001677E4" w:rsidRPr="00AC4122">
        <w:rPr>
          <w:rFonts w:asciiTheme="minorHAnsi" w:hAnsiTheme="minorHAnsi"/>
        </w:rPr>
        <w:t>. No manual submission of bid is allowed and manual bids shall not be accepted under any circumstances.</w:t>
      </w:r>
    </w:p>
    <w:p w:rsidR="00AF32B2" w:rsidRPr="00AC4122" w:rsidRDefault="0088485D" w:rsidP="00B11956">
      <w:pPr>
        <w:numPr>
          <w:ilvl w:val="0"/>
          <w:numId w:val="2"/>
        </w:numPr>
        <w:spacing w:before="120" w:after="120" w:line="240" w:lineRule="auto"/>
        <w:ind w:left="425" w:hanging="284"/>
        <w:rPr>
          <w:rFonts w:asciiTheme="minorHAnsi" w:hAnsiTheme="minorHAnsi"/>
        </w:rPr>
      </w:pPr>
      <w:r w:rsidRPr="0088485D">
        <w:rPr>
          <w:rFonts w:asciiTheme="minorHAnsi" w:hAnsiTheme="minorHAnsi"/>
          <w:b/>
          <w:bCs/>
        </w:rPr>
        <w:t>Opening of Technical Bid and Bidder short-listing</w:t>
      </w:r>
      <w:r w:rsidRPr="0088485D">
        <w:rPr>
          <w:rFonts w:asciiTheme="minorHAnsi" w:hAnsiTheme="minorHAnsi"/>
        </w:rPr>
        <w:t>: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w:t>
      </w:r>
    </w:p>
    <w:p w:rsidR="00AF32B2" w:rsidRPr="00AC4122" w:rsidRDefault="0088485D" w:rsidP="00B11956">
      <w:pPr>
        <w:numPr>
          <w:ilvl w:val="0"/>
          <w:numId w:val="2"/>
        </w:numPr>
        <w:spacing w:before="120" w:after="120" w:line="240" w:lineRule="auto"/>
        <w:ind w:left="425" w:hanging="284"/>
        <w:rPr>
          <w:rFonts w:asciiTheme="minorHAnsi" w:hAnsiTheme="minorHAnsi"/>
        </w:rPr>
      </w:pPr>
      <w:r w:rsidRPr="0088485D">
        <w:rPr>
          <w:rFonts w:asciiTheme="minorHAnsi" w:hAnsiTheme="minorHAnsi"/>
          <w:b/>
          <w:bCs/>
        </w:rPr>
        <w:t>Opening of Financial Bids:</w:t>
      </w:r>
      <w:r w:rsidRPr="0088485D">
        <w:rPr>
          <w:rFonts w:asciiTheme="minorHAnsi" w:hAnsiTheme="minorHAnsi"/>
        </w:rPr>
        <w:t xml:space="preserve"> Bids of the qualified bidder’s shall only be considered for opening and evaluation of the financial bid on the date and time mentioned in critical date’s section.</w:t>
      </w:r>
    </w:p>
    <w:p w:rsidR="00344347" w:rsidRPr="00AC4122" w:rsidRDefault="00344347" w:rsidP="00B11956">
      <w:pPr>
        <w:pStyle w:val="Default"/>
        <w:spacing w:before="120" w:after="120"/>
        <w:jc w:val="both"/>
        <w:rPr>
          <w:rFonts w:asciiTheme="minorHAnsi" w:hAnsiTheme="minorHAnsi"/>
          <w:b/>
          <w:bCs/>
          <w:color w:val="auto"/>
        </w:rPr>
      </w:pPr>
    </w:p>
    <w:p w:rsidR="00344347" w:rsidRPr="00AC4122" w:rsidRDefault="0088485D" w:rsidP="00B11956">
      <w:pPr>
        <w:pStyle w:val="Default"/>
        <w:numPr>
          <w:ilvl w:val="0"/>
          <w:numId w:val="8"/>
        </w:numPr>
        <w:spacing w:before="120" w:after="120"/>
        <w:ind w:hanging="720"/>
        <w:jc w:val="both"/>
        <w:rPr>
          <w:rFonts w:asciiTheme="minorHAnsi" w:hAnsiTheme="minorHAnsi"/>
          <w:b/>
          <w:bCs/>
          <w:color w:val="auto"/>
        </w:rPr>
      </w:pPr>
      <w:r w:rsidRPr="0088485D">
        <w:rPr>
          <w:rFonts w:asciiTheme="minorHAnsi" w:hAnsiTheme="minorHAnsi"/>
          <w:b/>
          <w:bCs/>
          <w:color w:val="auto"/>
        </w:rPr>
        <w:t>Documents Comprising Bid:</w:t>
      </w:r>
    </w:p>
    <w:p w:rsidR="00DE0E93" w:rsidRPr="00AC4122" w:rsidRDefault="00DE0E93" w:rsidP="00B11956">
      <w:pPr>
        <w:pStyle w:val="Default"/>
        <w:spacing w:before="120" w:after="120"/>
        <w:jc w:val="both"/>
        <w:rPr>
          <w:rFonts w:asciiTheme="minorHAnsi" w:hAnsiTheme="minorHAnsi"/>
          <w:b/>
          <w:bCs/>
          <w:color w:val="auto"/>
        </w:rPr>
      </w:pPr>
    </w:p>
    <w:p w:rsidR="00344347" w:rsidRPr="00AC4122" w:rsidRDefault="0088485D" w:rsidP="00B11956">
      <w:pPr>
        <w:pStyle w:val="Default"/>
        <w:numPr>
          <w:ilvl w:val="0"/>
          <w:numId w:val="9"/>
        </w:numPr>
        <w:spacing w:before="120" w:after="120"/>
        <w:jc w:val="both"/>
        <w:rPr>
          <w:rFonts w:asciiTheme="minorHAnsi" w:hAnsiTheme="minorHAnsi"/>
          <w:b/>
          <w:bCs/>
          <w:color w:val="auto"/>
        </w:rPr>
      </w:pPr>
      <w:r w:rsidRPr="0088485D">
        <w:rPr>
          <w:rFonts w:asciiTheme="minorHAnsi" w:hAnsiTheme="minorHAnsi"/>
          <w:b/>
          <w:bCs/>
          <w:color w:val="auto"/>
        </w:rPr>
        <w:t>The First Stage (Pre-Qualification or Technical Cover based on 1cover or2 cover tender system</w:t>
      </w:r>
      <w:r w:rsidR="00344347" w:rsidRPr="00AC4122">
        <w:rPr>
          <w:rFonts w:asciiTheme="minorHAnsi" w:hAnsiTheme="minorHAnsi"/>
          <w:b/>
          <w:bCs/>
          <w:color w:val="auto"/>
        </w:rPr>
        <w:t>):</w:t>
      </w:r>
    </w:p>
    <w:p w:rsidR="00344347" w:rsidRPr="00AC4122" w:rsidRDefault="00344347" w:rsidP="00B11956">
      <w:pPr>
        <w:pStyle w:val="Default"/>
        <w:spacing w:before="120" w:after="120"/>
        <w:ind w:left="720" w:hanging="720"/>
        <w:jc w:val="both"/>
        <w:rPr>
          <w:rFonts w:asciiTheme="minorHAnsi" w:hAnsiTheme="minorHAnsi"/>
          <w:b/>
          <w:bCs/>
          <w:color w:val="auto"/>
        </w:rPr>
      </w:pPr>
    </w:p>
    <w:p w:rsidR="00344347" w:rsidRPr="00AC4122" w:rsidRDefault="0088485D" w:rsidP="00B11956">
      <w:pPr>
        <w:pStyle w:val="Default"/>
        <w:spacing w:before="120" w:after="120"/>
        <w:jc w:val="both"/>
        <w:rPr>
          <w:rFonts w:asciiTheme="minorHAnsi" w:hAnsiTheme="minorHAnsi"/>
          <w:color w:val="auto"/>
        </w:rPr>
      </w:pPr>
      <w:r w:rsidRPr="0088485D">
        <w:rPr>
          <w:rFonts w:asciiTheme="minorHAnsi" w:hAnsiTheme="minorHAnsi"/>
          <w:color w:val="auto"/>
        </w:rPr>
        <w:t>Pre-Qualification or Technical proposal shall contain the scanned copies of the following documents which every bidder has to upload:</w:t>
      </w:r>
    </w:p>
    <w:p w:rsidR="00DE0E93" w:rsidRPr="00AC4122" w:rsidRDefault="00DE0E93" w:rsidP="00B11956">
      <w:pPr>
        <w:pStyle w:val="Default"/>
        <w:spacing w:before="120" w:after="120"/>
        <w:jc w:val="both"/>
        <w:rPr>
          <w:rFonts w:asciiTheme="minorHAnsi" w:hAnsiTheme="minorHAnsi"/>
          <w:color w:val="auto"/>
        </w:rPr>
      </w:pPr>
    </w:p>
    <w:p w:rsidR="00344347" w:rsidRPr="008E2A7E" w:rsidRDefault="0088485D" w:rsidP="00B11956">
      <w:pPr>
        <w:pStyle w:val="Default"/>
        <w:numPr>
          <w:ilvl w:val="0"/>
          <w:numId w:val="4"/>
        </w:numPr>
        <w:spacing w:before="120" w:after="120"/>
        <w:jc w:val="both"/>
        <w:rPr>
          <w:rFonts w:asciiTheme="minorHAnsi" w:hAnsiTheme="minorHAnsi" w:cs="Tunga"/>
          <w:color w:val="auto"/>
          <w:highlight w:val="green"/>
        </w:rPr>
      </w:pPr>
      <w:r w:rsidRPr="0088485D">
        <w:rPr>
          <w:rFonts w:asciiTheme="minorHAnsi" w:hAnsiTheme="minorHAnsi" w:cs="Tunga"/>
          <w:color w:val="auto"/>
          <w:highlight w:val="green"/>
        </w:rPr>
        <w:t>Document 1 &lt;</w:t>
      </w:r>
      <w:r w:rsidRPr="0088485D">
        <w:rPr>
          <w:rFonts w:asciiTheme="minorHAnsi" w:hAnsiTheme="minorHAnsi" w:cs="Tunga"/>
          <w:i/>
          <w:iCs/>
          <w:color w:val="auto"/>
          <w:highlight w:val="green"/>
        </w:rPr>
        <w:t>As per Department’s requirement</w:t>
      </w:r>
      <w:r w:rsidR="00344347" w:rsidRPr="008E2A7E">
        <w:rPr>
          <w:rFonts w:asciiTheme="minorHAnsi" w:hAnsiTheme="minorHAnsi" w:cs="Tunga"/>
          <w:color w:val="auto"/>
          <w:highlight w:val="green"/>
        </w:rPr>
        <w:t>&gt;</w:t>
      </w:r>
    </w:p>
    <w:p w:rsidR="00344347" w:rsidRPr="008E2A7E" w:rsidRDefault="0088485D" w:rsidP="00B11956">
      <w:pPr>
        <w:pStyle w:val="Default"/>
        <w:numPr>
          <w:ilvl w:val="0"/>
          <w:numId w:val="4"/>
        </w:numPr>
        <w:spacing w:before="120" w:after="120"/>
        <w:jc w:val="both"/>
        <w:rPr>
          <w:rFonts w:asciiTheme="minorHAnsi" w:hAnsiTheme="minorHAnsi" w:cs="Tunga"/>
          <w:color w:val="auto"/>
          <w:highlight w:val="green"/>
        </w:rPr>
      </w:pPr>
      <w:r w:rsidRPr="0088485D">
        <w:rPr>
          <w:rFonts w:asciiTheme="minorHAnsi" w:hAnsiTheme="minorHAnsi" w:cs="Tunga"/>
          <w:color w:val="auto"/>
          <w:highlight w:val="green"/>
        </w:rPr>
        <w:t>Document 2 &lt;</w:t>
      </w:r>
      <w:r w:rsidRPr="0088485D">
        <w:rPr>
          <w:rFonts w:asciiTheme="minorHAnsi" w:hAnsiTheme="minorHAnsi" w:cs="Tunga"/>
          <w:i/>
          <w:iCs/>
          <w:color w:val="auto"/>
          <w:highlight w:val="green"/>
        </w:rPr>
        <w:t>As per Department’s requirement</w:t>
      </w:r>
      <w:r w:rsidR="00344347" w:rsidRPr="008E2A7E">
        <w:rPr>
          <w:rFonts w:asciiTheme="minorHAnsi" w:hAnsiTheme="minorHAnsi" w:cs="Tunga"/>
          <w:color w:val="auto"/>
          <w:highlight w:val="green"/>
        </w:rPr>
        <w:t>&gt;</w:t>
      </w:r>
    </w:p>
    <w:p w:rsidR="00DE0E93" w:rsidRPr="008E2A7E" w:rsidRDefault="0088485D" w:rsidP="00B11956">
      <w:pPr>
        <w:pStyle w:val="Default"/>
        <w:numPr>
          <w:ilvl w:val="0"/>
          <w:numId w:val="4"/>
        </w:numPr>
        <w:spacing w:before="120" w:after="120"/>
        <w:jc w:val="both"/>
        <w:rPr>
          <w:rFonts w:asciiTheme="minorHAnsi" w:hAnsiTheme="minorHAnsi" w:cs="Tunga"/>
          <w:color w:val="auto"/>
          <w:highlight w:val="green"/>
        </w:rPr>
      </w:pPr>
      <w:r w:rsidRPr="0088485D">
        <w:rPr>
          <w:rFonts w:asciiTheme="minorHAnsi" w:hAnsiTheme="minorHAnsi" w:cs="Tunga"/>
          <w:color w:val="auto"/>
          <w:highlight w:val="green"/>
        </w:rPr>
        <w:t>Document ….</w:t>
      </w:r>
    </w:p>
    <w:p w:rsidR="00DE0E93" w:rsidRDefault="0088485D" w:rsidP="00B11956">
      <w:pPr>
        <w:pStyle w:val="Default"/>
        <w:numPr>
          <w:ilvl w:val="0"/>
          <w:numId w:val="4"/>
        </w:numPr>
        <w:spacing w:before="120" w:after="120"/>
        <w:jc w:val="both"/>
        <w:rPr>
          <w:rFonts w:asciiTheme="minorHAnsi" w:hAnsiTheme="minorHAnsi" w:cs="Tunga"/>
          <w:color w:val="auto"/>
          <w:highlight w:val="green"/>
        </w:rPr>
      </w:pPr>
      <w:r w:rsidRPr="0088485D">
        <w:rPr>
          <w:rFonts w:asciiTheme="minorHAnsi" w:hAnsiTheme="minorHAnsi" w:cs="Tunga"/>
          <w:color w:val="auto"/>
          <w:highlight w:val="green"/>
        </w:rPr>
        <w:t>Document ….</w:t>
      </w:r>
    </w:p>
    <w:p w:rsidR="00612039" w:rsidRDefault="00612039" w:rsidP="00B11956">
      <w:pPr>
        <w:pStyle w:val="Default"/>
        <w:numPr>
          <w:ilvl w:val="0"/>
          <w:numId w:val="4"/>
        </w:numPr>
        <w:spacing w:before="120" w:after="120"/>
        <w:jc w:val="both"/>
        <w:rPr>
          <w:rFonts w:asciiTheme="minorHAnsi" w:hAnsiTheme="minorHAnsi" w:cs="Tunga"/>
          <w:color w:val="auto"/>
          <w:highlight w:val="green"/>
        </w:rPr>
      </w:pPr>
      <w:r>
        <w:rPr>
          <w:rFonts w:asciiTheme="minorHAnsi" w:hAnsiTheme="minorHAnsi" w:cs="Tunga"/>
          <w:color w:val="auto"/>
          <w:highlight w:val="green"/>
        </w:rPr>
        <w:t>…………..</w:t>
      </w:r>
    </w:p>
    <w:p w:rsidR="00612039" w:rsidRDefault="00612039" w:rsidP="00B11956">
      <w:pPr>
        <w:pStyle w:val="Default"/>
        <w:numPr>
          <w:ilvl w:val="0"/>
          <w:numId w:val="4"/>
        </w:numPr>
        <w:spacing w:before="120" w:after="120"/>
        <w:jc w:val="both"/>
        <w:rPr>
          <w:rFonts w:asciiTheme="minorHAnsi" w:hAnsiTheme="minorHAnsi" w:cs="Tunga"/>
          <w:color w:val="auto"/>
          <w:highlight w:val="green"/>
        </w:rPr>
      </w:pPr>
      <w:r>
        <w:rPr>
          <w:rFonts w:asciiTheme="minorHAnsi" w:hAnsiTheme="minorHAnsi" w:cs="Tunga"/>
          <w:color w:val="auto"/>
          <w:highlight w:val="green"/>
        </w:rPr>
        <w:t>…………….. (the number may vary with departments/  PSUs requirement)</w:t>
      </w:r>
    </w:p>
    <w:p w:rsidR="00612039" w:rsidRPr="00612039" w:rsidRDefault="00612039" w:rsidP="00612039">
      <w:pPr>
        <w:pStyle w:val="Default"/>
        <w:spacing w:before="120" w:after="120"/>
        <w:ind w:left="720"/>
        <w:jc w:val="both"/>
        <w:rPr>
          <w:rFonts w:asciiTheme="minorHAnsi" w:hAnsiTheme="minorHAnsi" w:cs="Tunga"/>
          <w:color w:val="auto"/>
          <w:highlight w:val="green"/>
        </w:rPr>
      </w:pPr>
    </w:p>
    <w:p w:rsidR="00344347" w:rsidRPr="00AC4122" w:rsidRDefault="0088485D" w:rsidP="00B11956">
      <w:pPr>
        <w:pStyle w:val="Default"/>
        <w:spacing w:before="120" w:after="120"/>
        <w:rPr>
          <w:rFonts w:asciiTheme="minorHAnsi" w:hAnsiTheme="minorHAnsi" w:cs="Tunga"/>
          <w:color w:val="auto"/>
        </w:rPr>
      </w:pPr>
      <w:r w:rsidRPr="0088485D">
        <w:rPr>
          <w:rFonts w:asciiTheme="minorHAnsi" w:hAnsiTheme="minorHAnsi" w:cs="Tunga"/>
          <w:color w:val="auto"/>
        </w:rPr>
        <w:t>The department doesn’t take any responsibility for any technical snag or failure that has taken place during document upload.</w:t>
      </w:r>
    </w:p>
    <w:p w:rsidR="00344347" w:rsidRPr="00AC4122" w:rsidRDefault="00344347" w:rsidP="00B11956">
      <w:pPr>
        <w:pStyle w:val="Default"/>
        <w:spacing w:before="120" w:after="120"/>
        <w:jc w:val="both"/>
        <w:rPr>
          <w:rFonts w:asciiTheme="minorHAnsi" w:hAnsiTheme="minorHAnsi"/>
          <w:b/>
          <w:bCs/>
          <w:color w:val="auto"/>
        </w:rPr>
      </w:pPr>
    </w:p>
    <w:p w:rsidR="00344347" w:rsidRPr="00AC4122" w:rsidRDefault="0088485D" w:rsidP="00B11956">
      <w:pPr>
        <w:pStyle w:val="Default"/>
        <w:numPr>
          <w:ilvl w:val="0"/>
          <w:numId w:val="9"/>
        </w:numPr>
        <w:spacing w:before="120" w:after="120"/>
        <w:jc w:val="both"/>
        <w:rPr>
          <w:rFonts w:asciiTheme="minorHAnsi" w:hAnsiTheme="minorHAnsi"/>
          <w:b/>
          <w:bCs/>
          <w:color w:val="auto"/>
        </w:rPr>
      </w:pPr>
      <w:r w:rsidRPr="0088485D">
        <w:rPr>
          <w:rFonts w:asciiTheme="minorHAnsi" w:hAnsiTheme="minorHAnsi"/>
          <w:b/>
          <w:bCs/>
          <w:color w:val="auto"/>
        </w:rPr>
        <w:t>The Second Stage (</w:t>
      </w:r>
      <w:r w:rsidRPr="0088485D">
        <w:rPr>
          <w:rFonts w:asciiTheme="minorHAnsi" w:hAnsiTheme="minorHAnsi"/>
          <w:i/>
          <w:iCs/>
          <w:color w:val="auto"/>
        </w:rPr>
        <w:t>Financial Cover</w:t>
      </w:r>
      <w:r w:rsidR="00A63C14">
        <w:rPr>
          <w:rFonts w:asciiTheme="minorHAnsi" w:hAnsiTheme="minorHAnsi"/>
          <w:i/>
          <w:iCs/>
          <w:color w:val="auto"/>
        </w:rPr>
        <w:t xml:space="preserve"> </w:t>
      </w:r>
      <w:r w:rsidRPr="0088485D">
        <w:rPr>
          <w:rFonts w:asciiTheme="minorHAnsi" w:hAnsiTheme="minorHAnsi"/>
          <w:i/>
          <w:iCs/>
          <w:color w:val="auto"/>
        </w:rPr>
        <w:t>or as per tender cover system</w:t>
      </w:r>
      <w:r w:rsidR="00344347" w:rsidRPr="00AC4122">
        <w:rPr>
          <w:rFonts w:asciiTheme="minorHAnsi" w:hAnsiTheme="minorHAnsi"/>
          <w:b/>
          <w:bCs/>
          <w:color w:val="auto"/>
        </w:rPr>
        <w:t>):</w:t>
      </w:r>
    </w:p>
    <w:p w:rsidR="00344347" w:rsidRPr="00AC4122" w:rsidRDefault="00344347" w:rsidP="00B11956">
      <w:pPr>
        <w:pStyle w:val="Default"/>
        <w:spacing w:before="120" w:after="120"/>
        <w:jc w:val="both"/>
        <w:rPr>
          <w:rFonts w:asciiTheme="minorHAnsi" w:hAnsiTheme="minorHAnsi"/>
          <w:b/>
          <w:bCs/>
          <w:color w:val="auto"/>
        </w:rPr>
      </w:pPr>
    </w:p>
    <w:p w:rsidR="00344347" w:rsidRPr="00AC4122" w:rsidRDefault="0088485D" w:rsidP="00B11956">
      <w:pPr>
        <w:pStyle w:val="Default"/>
        <w:spacing w:before="120" w:after="120"/>
        <w:jc w:val="both"/>
        <w:rPr>
          <w:rFonts w:asciiTheme="minorHAnsi" w:hAnsiTheme="minorHAnsi"/>
          <w:color w:val="auto"/>
        </w:rPr>
      </w:pPr>
      <w:r w:rsidRPr="0088485D">
        <w:rPr>
          <w:rFonts w:asciiTheme="minorHAnsi" w:hAnsiTheme="minorHAnsi"/>
          <w:color w:val="auto"/>
        </w:rPr>
        <w:t xml:space="preserve">The Bidder shall complete the Price bid as per format given for download along with this tender. </w:t>
      </w:r>
    </w:p>
    <w:p w:rsidR="00344347" w:rsidRPr="00AC4122" w:rsidRDefault="00344347" w:rsidP="00B11956">
      <w:pPr>
        <w:pStyle w:val="Default"/>
        <w:spacing w:before="120" w:after="120"/>
        <w:jc w:val="both"/>
        <w:rPr>
          <w:rFonts w:asciiTheme="minorHAnsi" w:hAnsiTheme="minorHAnsi"/>
          <w:color w:val="auto"/>
        </w:rPr>
      </w:pPr>
    </w:p>
    <w:p w:rsidR="00344347" w:rsidRPr="00AC4122" w:rsidRDefault="0088485D" w:rsidP="00B11956">
      <w:pPr>
        <w:pStyle w:val="Default"/>
        <w:spacing w:before="120" w:after="120"/>
        <w:jc w:val="both"/>
        <w:rPr>
          <w:rFonts w:asciiTheme="minorHAnsi" w:hAnsiTheme="minorHAnsi"/>
          <w:color w:val="auto"/>
        </w:rPr>
      </w:pPr>
      <w:r w:rsidRPr="0088485D">
        <w:rPr>
          <w:rFonts w:asciiTheme="minorHAnsi" w:hAnsiTheme="minorHAnsi"/>
          <w:b/>
          <w:bCs/>
          <w:color w:val="auto"/>
          <w:u w:val="single"/>
        </w:rPr>
        <w:lastRenderedPageBreak/>
        <w:t>Note</w:t>
      </w:r>
      <w:r w:rsidRPr="0088485D">
        <w:rPr>
          <w:rFonts w:asciiTheme="minorHAnsi" w:hAnsiTheme="minorHAnsi"/>
          <w:color w:val="auto"/>
        </w:rPr>
        <w:t>: The blank price bid should be downloaded and saved on bidder’s computer without changing file-name otherwise price bid will not get uploaded. The bidder should fill in the details in the same file and upload the same back to the website.</w:t>
      </w:r>
    </w:p>
    <w:p w:rsidR="008176A3" w:rsidRPr="00AC4122" w:rsidRDefault="008176A3" w:rsidP="00B11956">
      <w:pPr>
        <w:pStyle w:val="Default"/>
        <w:spacing w:before="120" w:after="120"/>
        <w:jc w:val="both"/>
        <w:rPr>
          <w:rFonts w:asciiTheme="minorHAnsi" w:hAnsiTheme="minorHAnsi"/>
          <w:b/>
          <w:bCs/>
          <w:color w:val="auto"/>
        </w:rPr>
      </w:pPr>
    </w:p>
    <w:p w:rsidR="008176A3" w:rsidRPr="00AC4122" w:rsidRDefault="008176A3" w:rsidP="00B11956">
      <w:pPr>
        <w:pStyle w:val="Default"/>
        <w:spacing w:before="120" w:after="120"/>
        <w:jc w:val="both"/>
        <w:rPr>
          <w:rFonts w:asciiTheme="minorHAnsi" w:hAnsiTheme="minorHAnsi"/>
          <w:b/>
          <w:bCs/>
          <w:color w:val="auto"/>
        </w:rPr>
      </w:pPr>
    </w:p>
    <w:p w:rsidR="00344347" w:rsidRDefault="0088485D" w:rsidP="00B11956">
      <w:pPr>
        <w:pStyle w:val="Default"/>
        <w:spacing w:before="120" w:after="120"/>
        <w:jc w:val="both"/>
        <w:rPr>
          <w:rFonts w:asciiTheme="minorHAnsi" w:hAnsiTheme="minorHAnsi"/>
          <w:color w:val="auto"/>
        </w:rPr>
      </w:pPr>
      <w:r w:rsidRPr="0088485D">
        <w:rPr>
          <w:rFonts w:asciiTheme="minorHAnsi" w:hAnsiTheme="minorHAnsi"/>
          <w:b/>
          <w:bCs/>
          <w:color w:val="auto"/>
        </w:rPr>
        <w:t xml:space="preserve">Fixed price: </w:t>
      </w:r>
      <w:r w:rsidRPr="0088485D">
        <w:rPr>
          <w:rFonts w:asciiTheme="minorHAnsi" w:hAnsiTheme="minorHAnsi"/>
          <w:color w:val="auto"/>
        </w:rPr>
        <w:t>Prices quoted by the Bidder shall be fixed during the bidder's performance of the contract and not subject to variation on any account. A bid submitted with an adjustable/ variable price quotation will be treated as non - responsive and rejected.</w:t>
      </w:r>
    </w:p>
    <w:p w:rsidR="00344347" w:rsidRPr="00AC4122" w:rsidRDefault="00344347" w:rsidP="00B11956">
      <w:pPr>
        <w:pStyle w:val="Default"/>
        <w:spacing w:before="120" w:after="120"/>
        <w:jc w:val="both"/>
        <w:rPr>
          <w:rFonts w:asciiTheme="minorHAnsi" w:hAnsiTheme="minorHAnsi"/>
          <w:color w:val="auto"/>
        </w:rPr>
      </w:pPr>
    </w:p>
    <w:p w:rsidR="00344347" w:rsidRPr="00AC4122" w:rsidRDefault="0088485D" w:rsidP="00B11956">
      <w:pPr>
        <w:pStyle w:val="ListParagraph"/>
        <w:numPr>
          <w:ilvl w:val="0"/>
          <w:numId w:val="8"/>
        </w:numPr>
        <w:tabs>
          <w:tab w:val="left" w:pos="0"/>
        </w:tabs>
        <w:spacing w:before="120" w:after="120" w:line="240" w:lineRule="auto"/>
        <w:ind w:hanging="720"/>
        <w:rPr>
          <w:rFonts w:asciiTheme="minorHAnsi" w:hAnsiTheme="minorHAnsi"/>
          <w:b/>
          <w:bCs/>
        </w:rPr>
      </w:pPr>
      <w:r w:rsidRPr="0088485D">
        <w:rPr>
          <w:rFonts w:asciiTheme="minorHAnsi" w:hAnsiTheme="minorHAnsi"/>
          <w:b/>
          <w:bCs/>
        </w:rPr>
        <w:t>Tender Document Fees and Earnest Money Deposit (EMD)</w:t>
      </w:r>
    </w:p>
    <w:p w:rsidR="00344347" w:rsidRPr="00AC4122" w:rsidRDefault="0088485D" w:rsidP="00B11956">
      <w:pPr>
        <w:pStyle w:val="Default"/>
        <w:spacing w:before="120" w:after="120"/>
        <w:jc w:val="both"/>
        <w:rPr>
          <w:rFonts w:asciiTheme="minorHAnsi" w:hAnsiTheme="minorHAnsi"/>
          <w:color w:val="auto"/>
        </w:rPr>
      </w:pPr>
      <w:r w:rsidRPr="0088485D">
        <w:rPr>
          <w:rFonts w:asciiTheme="minorHAnsi" w:hAnsiTheme="minorHAnsi"/>
          <w:color w:val="auto"/>
        </w:rPr>
        <w:t>The Bidder shall pay, a tender document fees of Rs. &lt;</w:t>
      </w:r>
      <w:r w:rsidRPr="0088485D">
        <w:rPr>
          <w:rFonts w:asciiTheme="minorHAnsi" w:hAnsiTheme="minorHAnsi"/>
          <w:i/>
          <w:iCs/>
          <w:color w:val="auto"/>
          <w:highlight w:val="green"/>
        </w:rPr>
        <w:t>as per department norms</w:t>
      </w:r>
      <w:r w:rsidR="00344347" w:rsidRPr="008E2A7E">
        <w:rPr>
          <w:rFonts w:asciiTheme="minorHAnsi" w:hAnsiTheme="minorHAnsi"/>
          <w:color w:val="auto"/>
          <w:highlight w:val="green"/>
        </w:rPr>
        <w:t>&gt;/-</w:t>
      </w:r>
      <w:r w:rsidR="00344347" w:rsidRPr="00AC4122">
        <w:rPr>
          <w:rFonts w:asciiTheme="minorHAnsi" w:hAnsiTheme="minorHAnsi"/>
          <w:color w:val="auto"/>
        </w:rPr>
        <w:t xml:space="preserve"> and Earnest Money Deposit or Bid Security of Rs. </w:t>
      </w:r>
      <w:r w:rsidRPr="0088485D">
        <w:rPr>
          <w:rFonts w:asciiTheme="minorHAnsi" w:hAnsiTheme="minorHAnsi"/>
          <w:color w:val="auto"/>
          <w:highlight w:val="green"/>
        </w:rPr>
        <w:t>&lt;</w:t>
      </w:r>
      <w:r w:rsidRPr="0088485D">
        <w:rPr>
          <w:rFonts w:asciiTheme="minorHAnsi" w:hAnsiTheme="minorHAnsi"/>
          <w:i/>
          <w:iCs/>
          <w:color w:val="auto"/>
          <w:highlight w:val="green"/>
        </w:rPr>
        <w:t>as per department norms</w:t>
      </w:r>
      <w:r w:rsidR="000971A1" w:rsidRPr="008E2A7E">
        <w:rPr>
          <w:rFonts w:asciiTheme="minorHAnsi" w:hAnsiTheme="minorHAnsi"/>
          <w:i/>
          <w:iCs/>
          <w:color w:val="auto"/>
          <w:highlight w:val="green"/>
        </w:rPr>
        <w:t>&gt;</w:t>
      </w:r>
      <w:r w:rsidRPr="0088485D">
        <w:rPr>
          <w:rFonts w:asciiTheme="minorHAnsi" w:hAnsiTheme="minorHAnsi"/>
          <w:color w:val="auto"/>
          <w:highlight w:val="green"/>
        </w:rPr>
        <w:t>.</w:t>
      </w:r>
      <w:r w:rsidRPr="0088485D">
        <w:rPr>
          <w:rFonts w:asciiTheme="minorHAnsi" w:hAnsiTheme="minorHAnsi"/>
          <w:color w:val="auto"/>
        </w:rPr>
        <w:t xml:space="preserve"> The Bid security is required to protect the purchaser against risk of Bidder’s conduct, which would warrant the forfeiture of security. </w:t>
      </w:r>
    </w:p>
    <w:p w:rsidR="00344347" w:rsidRPr="00AC4122" w:rsidRDefault="00344347" w:rsidP="00B11956">
      <w:pPr>
        <w:pStyle w:val="Default"/>
        <w:spacing w:before="120" w:after="120"/>
        <w:rPr>
          <w:rFonts w:asciiTheme="minorHAnsi" w:hAnsiTheme="minorHAnsi"/>
          <w:color w:val="auto"/>
        </w:rPr>
      </w:pPr>
    </w:p>
    <w:p w:rsidR="00344347" w:rsidRPr="00AC4122" w:rsidRDefault="0088485D" w:rsidP="00B11956">
      <w:pPr>
        <w:pStyle w:val="Default"/>
        <w:spacing w:before="120" w:after="120"/>
        <w:jc w:val="both"/>
        <w:rPr>
          <w:rFonts w:asciiTheme="minorHAnsi" w:hAnsiTheme="minorHAnsi"/>
          <w:color w:val="auto"/>
        </w:rPr>
      </w:pPr>
      <w:r w:rsidRPr="0088485D">
        <w:rPr>
          <w:rFonts w:asciiTheme="minorHAnsi" w:hAnsiTheme="minorHAnsi"/>
          <w:b/>
          <w:bCs/>
          <w:color w:val="auto"/>
        </w:rPr>
        <w:t>Online Payment modes</w:t>
      </w:r>
      <w:r w:rsidRPr="0088485D">
        <w:rPr>
          <w:rFonts w:asciiTheme="minorHAnsi" w:hAnsiTheme="minorHAnsi"/>
          <w:color w:val="auto"/>
        </w:rPr>
        <w:t xml:space="preserve">: The tender document fees and EMD can be paid in the following manner through e-Payment facility provided by the e-Procurement system: </w:t>
      </w:r>
    </w:p>
    <w:p w:rsidR="00344347" w:rsidRPr="00AC4122" w:rsidRDefault="00344347" w:rsidP="00B11956">
      <w:pPr>
        <w:pStyle w:val="Default"/>
        <w:spacing w:before="120" w:after="120"/>
        <w:ind w:left="420" w:hanging="420"/>
        <w:jc w:val="both"/>
        <w:rPr>
          <w:rFonts w:asciiTheme="minorHAnsi" w:hAnsiTheme="minorHAnsi"/>
          <w:color w:val="auto"/>
        </w:rPr>
      </w:pPr>
    </w:p>
    <w:p w:rsidR="00344347" w:rsidRPr="00AC4122" w:rsidRDefault="0088485D" w:rsidP="00B11956">
      <w:pPr>
        <w:pStyle w:val="Default"/>
        <w:numPr>
          <w:ilvl w:val="2"/>
          <w:numId w:val="5"/>
        </w:numPr>
        <w:spacing w:before="120" w:after="120"/>
        <w:ind w:left="709" w:hanging="283"/>
        <w:jc w:val="both"/>
        <w:rPr>
          <w:rFonts w:asciiTheme="minorHAnsi" w:hAnsiTheme="minorHAnsi"/>
          <w:color w:val="auto"/>
        </w:rPr>
      </w:pPr>
      <w:r w:rsidRPr="0088485D">
        <w:rPr>
          <w:rFonts w:asciiTheme="minorHAnsi" w:hAnsiTheme="minorHAnsi"/>
          <w:b/>
          <w:bCs/>
          <w:color w:val="auto"/>
          <w:u w:val="single"/>
        </w:rPr>
        <w:t xml:space="preserve">State Bank of </w:t>
      </w:r>
      <w:r w:rsidR="004413BB">
        <w:rPr>
          <w:rFonts w:asciiTheme="minorHAnsi" w:hAnsiTheme="minorHAnsi"/>
          <w:b/>
          <w:bCs/>
          <w:color w:val="auto"/>
          <w:u w:val="single"/>
        </w:rPr>
        <w:t>India (SBI</w:t>
      </w:r>
      <w:r w:rsidRPr="0088485D">
        <w:rPr>
          <w:rFonts w:asciiTheme="minorHAnsi" w:hAnsiTheme="minorHAnsi"/>
          <w:b/>
          <w:bCs/>
          <w:color w:val="auto"/>
          <w:u w:val="single"/>
        </w:rPr>
        <w:t>) Internet Banking</w:t>
      </w:r>
      <w:r w:rsidRPr="0088485D">
        <w:rPr>
          <w:rFonts w:asciiTheme="minorHAnsi" w:hAnsiTheme="minorHAnsi"/>
          <w:color w:val="auto"/>
        </w:rPr>
        <w:t>: If a bidder has a SB</w:t>
      </w:r>
      <w:r w:rsidR="004413BB">
        <w:rPr>
          <w:rFonts w:asciiTheme="minorHAnsi" w:hAnsiTheme="minorHAnsi"/>
          <w:color w:val="auto"/>
        </w:rPr>
        <w:t>I</w:t>
      </w:r>
      <w:r w:rsidRPr="0088485D">
        <w:rPr>
          <w:rFonts w:asciiTheme="minorHAnsi" w:hAnsiTheme="minorHAnsi"/>
          <w:color w:val="auto"/>
        </w:rPr>
        <w:t xml:space="preserve"> internet banking account, then, during the online bid submission </w:t>
      </w:r>
      <w:r w:rsidR="004413BB">
        <w:rPr>
          <w:rFonts w:asciiTheme="minorHAnsi" w:hAnsiTheme="minorHAnsi"/>
          <w:color w:val="auto"/>
        </w:rPr>
        <w:t>process, bidder shall select SBI</w:t>
      </w:r>
      <w:r w:rsidRPr="0088485D">
        <w:rPr>
          <w:rFonts w:asciiTheme="minorHAnsi" w:hAnsiTheme="minorHAnsi"/>
          <w:color w:val="auto"/>
        </w:rPr>
        <w:t xml:space="preserve"> option and then select Internet banking option. The e-Procurement system </w:t>
      </w:r>
      <w:r w:rsidR="004413BB">
        <w:rPr>
          <w:rFonts w:asciiTheme="minorHAnsi" w:hAnsiTheme="minorHAnsi"/>
          <w:color w:val="auto"/>
        </w:rPr>
        <w:t>will re-direct the bidder to SBI</w:t>
      </w:r>
      <w:r w:rsidRPr="0088485D">
        <w:rPr>
          <w:rFonts w:asciiTheme="minorHAnsi" w:hAnsiTheme="minorHAnsi"/>
          <w:color w:val="auto"/>
        </w:rPr>
        <w:t>’s internet banking page where he can enter his internet banking credentials and transfer the tender document and EMD amount.</w:t>
      </w:r>
    </w:p>
    <w:p w:rsidR="00344347" w:rsidRPr="00AC4122" w:rsidRDefault="0088485D" w:rsidP="00B11956">
      <w:pPr>
        <w:pStyle w:val="Default"/>
        <w:numPr>
          <w:ilvl w:val="2"/>
          <w:numId w:val="5"/>
        </w:numPr>
        <w:spacing w:before="120" w:after="120"/>
        <w:ind w:left="709" w:hanging="283"/>
        <w:jc w:val="both"/>
        <w:rPr>
          <w:rFonts w:asciiTheme="minorHAnsi" w:hAnsiTheme="minorHAnsi"/>
          <w:color w:val="auto"/>
        </w:rPr>
      </w:pPr>
      <w:r w:rsidRPr="0088485D">
        <w:rPr>
          <w:rFonts w:asciiTheme="minorHAnsi" w:hAnsiTheme="minorHAnsi"/>
          <w:b/>
          <w:bCs/>
          <w:color w:val="auto"/>
          <w:u w:val="single"/>
        </w:rPr>
        <w:t>National Electronic Fund Transfer (NEFT</w:t>
      </w:r>
      <w:r w:rsidRPr="0088485D">
        <w:rPr>
          <w:rFonts w:asciiTheme="minorHAnsi" w:hAnsiTheme="minorHAnsi"/>
          <w:color w:val="auto"/>
        </w:rPr>
        <w:t>)</w:t>
      </w:r>
      <w:r w:rsidR="005A4DDF">
        <w:rPr>
          <w:rFonts w:asciiTheme="minorHAnsi" w:hAnsiTheme="minorHAnsi"/>
          <w:color w:val="auto"/>
        </w:rPr>
        <w:t xml:space="preserve">/ </w:t>
      </w:r>
      <w:r w:rsidR="005A4DDF" w:rsidRPr="009A44EF">
        <w:rPr>
          <w:rFonts w:asciiTheme="minorHAnsi" w:hAnsiTheme="minorHAnsi"/>
          <w:b/>
          <w:bCs/>
          <w:color w:val="auto"/>
          <w:u w:val="single"/>
        </w:rPr>
        <w:t>Real</w:t>
      </w:r>
      <w:r w:rsidR="00B8221B" w:rsidRPr="009A44EF">
        <w:rPr>
          <w:rFonts w:asciiTheme="minorHAnsi" w:hAnsiTheme="minorHAnsi"/>
          <w:b/>
          <w:bCs/>
          <w:color w:val="auto"/>
          <w:u w:val="single"/>
        </w:rPr>
        <w:t xml:space="preserve"> Time</w:t>
      </w:r>
      <w:r w:rsidR="00B8221B">
        <w:rPr>
          <w:rFonts w:asciiTheme="minorHAnsi" w:hAnsiTheme="minorHAnsi"/>
          <w:b/>
          <w:bCs/>
          <w:color w:val="auto"/>
          <w:u w:val="single"/>
        </w:rPr>
        <w:t xml:space="preserve"> Gross Settlement (RTGS):</w:t>
      </w:r>
      <w:r w:rsidRPr="0088485D">
        <w:rPr>
          <w:rFonts w:asciiTheme="minorHAnsi" w:hAnsiTheme="minorHAnsi"/>
          <w:color w:val="auto"/>
        </w:rPr>
        <w:t>If a bidder holds bank account in a different bank, then, during the online bid submission process, bidder shall select NEFT</w:t>
      </w:r>
      <w:r w:rsidR="00B8221B">
        <w:rPr>
          <w:rFonts w:asciiTheme="minorHAnsi" w:hAnsiTheme="minorHAnsi"/>
          <w:color w:val="auto"/>
        </w:rPr>
        <w:t xml:space="preserve"> / RTGS</w:t>
      </w:r>
      <w:r w:rsidR="00FF0016">
        <w:rPr>
          <w:rFonts w:asciiTheme="minorHAnsi" w:hAnsiTheme="minorHAnsi"/>
          <w:color w:val="auto"/>
        </w:rPr>
        <w:t xml:space="preserve"> </w:t>
      </w:r>
      <w:r w:rsidRPr="0088485D">
        <w:rPr>
          <w:rFonts w:asciiTheme="minorHAnsi" w:hAnsiTheme="minorHAnsi"/>
          <w:color w:val="auto"/>
        </w:rPr>
        <w:t>option. An online remittance form would be generated, which the bidder can use for transferring amount through NEFT</w:t>
      </w:r>
      <w:r w:rsidR="00A309C4">
        <w:rPr>
          <w:rFonts w:asciiTheme="minorHAnsi" w:hAnsiTheme="minorHAnsi"/>
          <w:color w:val="auto"/>
        </w:rPr>
        <w:t xml:space="preserve"> / RTGS</w:t>
      </w:r>
      <w:r w:rsidRPr="0088485D">
        <w:rPr>
          <w:rFonts w:asciiTheme="minorHAnsi" w:hAnsiTheme="minorHAnsi"/>
          <w:color w:val="auto"/>
        </w:rPr>
        <w:t xml:space="preserve"> either by using internet banking of his bank or visiting nearest branch of his bank. After obtaining the successful transaction receipt no., the bidder has to update the same in e-Procurement system for completing the process of bid submission. Bidder should only use the details given in the Remittance form for making a NEFT</w:t>
      </w:r>
      <w:r w:rsidR="00A309C4">
        <w:rPr>
          <w:rFonts w:asciiTheme="minorHAnsi" w:hAnsiTheme="minorHAnsi"/>
          <w:color w:val="auto"/>
        </w:rPr>
        <w:t xml:space="preserve"> / RTGS</w:t>
      </w:r>
      <w:r w:rsidRPr="0088485D">
        <w:rPr>
          <w:rFonts w:asciiTheme="minorHAnsi" w:hAnsiTheme="minorHAnsi"/>
          <w:color w:val="auto"/>
        </w:rPr>
        <w:t xml:space="preserve"> payment otherwise payment would result in failure in e-Procurement system.</w:t>
      </w:r>
    </w:p>
    <w:p w:rsidR="00363039" w:rsidRDefault="0088485D" w:rsidP="00B11956">
      <w:pPr>
        <w:pStyle w:val="Default"/>
        <w:spacing w:before="120" w:after="120"/>
        <w:ind w:left="709" w:firstLine="731"/>
        <w:jc w:val="both"/>
        <w:rPr>
          <w:rFonts w:asciiTheme="minorHAnsi" w:hAnsiTheme="minorHAnsi"/>
          <w:b/>
          <w:bCs/>
          <w:color w:val="auto"/>
        </w:rPr>
      </w:pPr>
      <w:r w:rsidRPr="0088485D">
        <w:rPr>
          <w:rFonts w:asciiTheme="minorHAnsi" w:hAnsiTheme="minorHAnsi"/>
          <w:b/>
          <w:bCs/>
          <w:color w:val="auto"/>
        </w:rPr>
        <w:t>As NEFT payment status confirmation is not received by e-Procurement system on a real-time basis, bidders are advised to exercise NEFT mode of payment option at least 48 hours prior to the last date and time of bid submission to avoid any payment issues.</w:t>
      </w:r>
    </w:p>
    <w:p w:rsidR="0090191B" w:rsidRPr="00AC4122" w:rsidRDefault="0090191B" w:rsidP="0090191B">
      <w:pPr>
        <w:pStyle w:val="Default"/>
        <w:spacing w:before="120" w:after="120"/>
        <w:ind w:left="709"/>
        <w:jc w:val="both"/>
        <w:rPr>
          <w:rFonts w:asciiTheme="minorHAnsi" w:hAnsiTheme="minorHAnsi"/>
          <w:b/>
          <w:bCs/>
          <w:color w:val="auto"/>
        </w:rPr>
      </w:pPr>
      <w:r>
        <w:rPr>
          <w:rFonts w:asciiTheme="minorHAnsi" w:hAnsiTheme="minorHAnsi"/>
          <w:b/>
          <w:bCs/>
          <w:color w:val="auto"/>
        </w:rPr>
        <w:t xml:space="preserve">For RTGS </w:t>
      </w:r>
      <w:r w:rsidRPr="0090191B">
        <w:rPr>
          <w:rFonts w:asciiTheme="minorHAnsi" w:hAnsiTheme="minorHAnsi"/>
          <w:b/>
          <w:bCs/>
          <w:color w:val="auto"/>
        </w:rPr>
        <w:t>the timings that the banks follow may vary depending on the custom</w:t>
      </w:r>
      <w:r>
        <w:rPr>
          <w:rFonts w:asciiTheme="minorHAnsi" w:hAnsiTheme="minorHAnsi"/>
          <w:b/>
          <w:bCs/>
          <w:color w:val="auto"/>
        </w:rPr>
        <w:t>er timings of the bank branches and settlement from RBI</w:t>
      </w:r>
      <w:r w:rsidR="00910E9C">
        <w:rPr>
          <w:rFonts w:asciiTheme="minorHAnsi" w:hAnsiTheme="minorHAnsi"/>
          <w:b/>
          <w:bCs/>
          <w:color w:val="auto"/>
        </w:rPr>
        <w:t>. Bidders are advised to exercise RTGS mode of payment at least 24 hours prior to the last date and time of bid submission to avoid any payment issues.</w:t>
      </w:r>
    </w:p>
    <w:p w:rsidR="00344347" w:rsidRPr="00AC4122" w:rsidRDefault="00344347" w:rsidP="00B11956">
      <w:pPr>
        <w:pStyle w:val="Default"/>
        <w:spacing w:before="120" w:after="120"/>
        <w:ind w:left="420" w:hanging="420"/>
        <w:jc w:val="both"/>
        <w:rPr>
          <w:rFonts w:asciiTheme="minorHAnsi" w:hAnsiTheme="minorHAnsi"/>
          <w:color w:val="auto"/>
        </w:rPr>
      </w:pPr>
    </w:p>
    <w:p w:rsidR="0042731B" w:rsidRPr="00AC4122" w:rsidRDefault="0088485D" w:rsidP="00B11956">
      <w:pPr>
        <w:spacing w:before="120" w:after="120" w:line="240" w:lineRule="auto"/>
        <w:contextualSpacing/>
        <w:rPr>
          <w:rFonts w:asciiTheme="minorHAnsi" w:hAnsiTheme="minorHAnsi"/>
        </w:rPr>
      </w:pPr>
      <w:r w:rsidRPr="0088485D">
        <w:rPr>
          <w:rFonts w:asciiTheme="minorHAnsi" w:hAnsiTheme="minorHAnsi"/>
        </w:rPr>
        <w:lastRenderedPageBreak/>
        <w:t>NEFT</w:t>
      </w:r>
      <w:r w:rsidR="0056781F">
        <w:rPr>
          <w:rFonts w:asciiTheme="minorHAnsi" w:hAnsiTheme="minorHAnsi"/>
        </w:rPr>
        <w:t xml:space="preserve"> / RTGS</w:t>
      </w:r>
      <w:r w:rsidRPr="0088485D">
        <w:rPr>
          <w:rFonts w:asciiTheme="minorHAnsi" w:hAnsiTheme="minorHAnsi"/>
        </w:rPr>
        <w:t xml:space="preserve"> payment should done according to following guidelines:</w:t>
      </w:r>
    </w:p>
    <w:p w:rsidR="0042731B" w:rsidRPr="00AC4122" w:rsidRDefault="0042731B" w:rsidP="00B11956">
      <w:pPr>
        <w:spacing w:before="120" w:after="120" w:line="240" w:lineRule="auto"/>
        <w:ind w:left="720"/>
        <w:contextualSpacing/>
        <w:rPr>
          <w:rFonts w:asciiTheme="minorHAnsi" w:hAnsiTheme="minorHAnsi"/>
        </w:rPr>
      </w:pPr>
    </w:p>
    <w:p w:rsidR="0042731B"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bCs/>
          <w:u w:val="single"/>
        </w:rPr>
        <w:t>Single transaction for remitting Tender document fee and EMD</w:t>
      </w:r>
      <w:r w:rsidRPr="0088485D">
        <w:rPr>
          <w:rFonts w:asciiTheme="minorHAnsi" w:hAnsiTheme="minorHAnsi" w:cs="Arial"/>
        </w:rPr>
        <w:t xml:space="preserve">: Bidder should ensure that tender document fees and EMD are remitted as one single transaction. </w:t>
      </w:r>
    </w:p>
    <w:p w:rsidR="0042731B"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u w:val="single"/>
        </w:rPr>
        <w:t>Account number as per Remittance Form only</w:t>
      </w:r>
      <w:r w:rsidRPr="0088485D">
        <w:rPr>
          <w:rFonts w:asciiTheme="minorHAnsi" w:hAnsiTheme="minorHAnsi" w:cs="Arial"/>
          <w:b/>
        </w:rPr>
        <w:t>:</w:t>
      </w:r>
      <w:r w:rsidRPr="0088485D">
        <w:rPr>
          <w:rFonts w:asciiTheme="minorHAnsi" w:hAnsiTheme="minorHAnsi" w:cs="Arial"/>
        </w:rPr>
        <w:t xml:space="preserve"> Account no. entered during NEFT</w:t>
      </w:r>
      <w:r w:rsidR="003E4C7D">
        <w:rPr>
          <w:rFonts w:asciiTheme="minorHAnsi" w:hAnsiTheme="minorHAnsi" w:cs="Arial"/>
        </w:rPr>
        <w:t>/RTGS</w:t>
      </w:r>
      <w:r w:rsidRPr="0088485D">
        <w:rPr>
          <w:rFonts w:asciiTheme="minorHAnsi" w:hAnsiTheme="minorHAnsi" w:cs="Arial"/>
        </w:rPr>
        <w:t xml:space="preserve"> remittance at any bank counter or during adding beneficiary account in Internet banking site should be the same as it appears in the remittance form generated for that particular bid by the e-Procurement system. Bidder should ensure that tender document fees and EMD are remitted only to the account number given in the Remittance form provided by e-Procurement system for that particular tender.</w:t>
      </w:r>
    </w:p>
    <w:p w:rsidR="0042731B" w:rsidRPr="00AC4122" w:rsidRDefault="0088485D" w:rsidP="00B11956">
      <w:pPr>
        <w:widowControl w:val="0"/>
        <w:overflowPunct w:val="0"/>
        <w:autoSpaceDE w:val="0"/>
        <w:autoSpaceDN w:val="0"/>
        <w:adjustRightInd w:val="0"/>
        <w:spacing w:before="120" w:after="120" w:line="240" w:lineRule="auto"/>
        <w:ind w:left="709"/>
        <w:rPr>
          <w:rFonts w:asciiTheme="minorHAnsi" w:hAnsiTheme="minorHAnsi" w:cs="Arial"/>
        </w:rPr>
      </w:pPr>
      <w:r w:rsidRPr="0088485D">
        <w:rPr>
          <w:rFonts w:asciiTheme="minorHAnsi" w:hAnsiTheme="minorHAnsi" w:cs="Arial"/>
        </w:rPr>
        <w:t>Bidders must ensure that the banker inputs the Account Number (which is case sensitive) as displayed in the Remittance form.  No additional information like bidder name, company name, etc. should be entered in the account no. column along with account no. for NEFT</w:t>
      </w:r>
      <w:r w:rsidR="008A2FBB">
        <w:rPr>
          <w:rFonts w:asciiTheme="minorHAnsi" w:hAnsiTheme="minorHAnsi" w:cs="Arial"/>
        </w:rPr>
        <w:t xml:space="preserve"> / RTGS</w:t>
      </w:r>
      <w:r w:rsidRPr="0088485D">
        <w:rPr>
          <w:rFonts w:asciiTheme="minorHAnsi" w:hAnsiTheme="minorHAnsi" w:cs="Arial"/>
        </w:rPr>
        <w:t xml:space="preserve"> remittance.</w:t>
      </w:r>
    </w:p>
    <w:p w:rsidR="0042731B"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u w:val="single"/>
        </w:rPr>
        <w:t>Only NEFT</w:t>
      </w:r>
      <w:r w:rsidR="001A73FE">
        <w:rPr>
          <w:rFonts w:asciiTheme="minorHAnsi" w:hAnsiTheme="minorHAnsi" w:cs="Arial"/>
          <w:b/>
          <w:u w:val="single"/>
        </w:rPr>
        <w:t xml:space="preserve"> / RTGS</w:t>
      </w:r>
      <w:r w:rsidRPr="0088485D">
        <w:rPr>
          <w:rFonts w:asciiTheme="minorHAnsi" w:hAnsiTheme="minorHAnsi" w:cs="Arial"/>
          <w:b/>
          <w:u w:val="single"/>
        </w:rPr>
        <w:t xml:space="preserve"> Remittance Allowed</w:t>
      </w:r>
      <w:r w:rsidRPr="0088485D">
        <w:rPr>
          <w:rFonts w:asciiTheme="minorHAnsi" w:hAnsiTheme="minorHAnsi" w:cs="Arial"/>
          <w:b/>
        </w:rPr>
        <w:t>:</w:t>
      </w:r>
      <w:r w:rsidRPr="0088485D">
        <w:rPr>
          <w:rFonts w:asciiTheme="minorHAnsi" w:hAnsiTheme="minorHAnsi" w:cs="Arial"/>
        </w:rPr>
        <w:t xml:space="preserve"> Account to Account transfers, State Bank Group Transfers (GRPT</w:t>
      </w:r>
      <w:r w:rsidR="001B276C">
        <w:rPr>
          <w:rFonts w:asciiTheme="minorHAnsi" w:hAnsiTheme="minorHAnsi" w:cs="Arial"/>
        </w:rPr>
        <w:t>), Payments from NRE Accounts, SWIFT Transfers</w:t>
      </w:r>
      <w:r w:rsidR="00CB16ED">
        <w:rPr>
          <w:rFonts w:asciiTheme="minorHAnsi" w:hAnsiTheme="minorHAnsi" w:cs="Arial"/>
        </w:rPr>
        <w:t>, IMPS</w:t>
      </w:r>
      <w:r w:rsidRPr="0088485D">
        <w:rPr>
          <w:rFonts w:asciiTheme="minorHAnsi" w:hAnsiTheme="minorHAnsi" w:cs="Arial"/>
        </w:rPr>
        <w:t xml:space="preserve"> or Cash payments are not allowed and are treated as invalid mode of payments. Bidder must ensure that the banker does NEFT</w:t>
      </w:r>
      <w:r w:rsidR="009D3734">
        <w:rPr>
          <w:rFonts w:asciiTheme="minorHAnsi" w:hAnsiTheme="minorHAnsi" w:cs="Arial"/>
        </w:rPr>
        <w:t xml:space="preserve"> or RTGS </w:t>
      </w:r>
      <w:r w:rsidR="00024219">
        <w:rPr>
          <w:rFonts w:asciiTheme="minorHAnsi" w:hAnsiTheme="minorHAnsi" w:cs="Arial"/>
        </w:rPr>
        <w:t xml:space="preserve">(for </w:t>
      </w:r>
      <w:r w:rsidR="009D3734">
        <w:rPr>
          <w:rFonts w:asciiTheme="minorHAnsi" w:hAnsiTheme="minorHAnsi" w:cs="Arial"/>
        </w:rPr>
        <w:t>above 2 lakhs</w:t>
      </w:r>
      <w:r w:rsidR="00024219">
        <w:rPr>
          <w:rFonts w:asciiTheme="minorHAnsi" w:hAnsiTheme="minorHAnsi" w:cs="Arial"/>
        </w:rPr>
        <w:t xml:space="preserve"> payments</w:t>
      </w:r>
      <w:r w:rsidR="00D1665B">
        <w:rPr>
          <w:rFonts w:asciiTheme="minorHAnsi" w:hAnsiTheme="minorHAnsi" w:cs="Arial"/>
        </w:rPr>
        <w:t xml:space="preserve"> as per RBI guidelines</w:t>
      </w:r>
      <w:r w:rsidR="009D3734">
        <w:rPr>
          <w:rFonts w:asciiTheme="minorHAnsi" w:hAnsiTheme="minorHAnsi" w:cs="Arial"/>
        </w:rPr>
        <w:t xml:space="preserve">) </w:t>
      </w:r>
      <w:r w:rsidR="009D3734" w:rsidRPr="0088485D">
        <w:rPr>
          <w:rFonts w:asciiTheme="minorHAnsi" w:hAnsiTheme="minorHAnsi" w:cs="Arial"/>
        </w:rPr>
        <w:t>transaction</w:t>
      </w:r>
      <w:r w:rsidRPr="0088485D">
        <w:rPr>
          <w:rFonts w:asciiTheme="minorHAnsi" w:hAnsiTheme="minorHAnsi" w:cs="Arial"/>
        </w:rPr>
        <w:t xml:space="preserve"> only and specially instruct the banks not to convert the payment type to </w:t>
      </w:r>
      <w:r w:rsidR="000E6026">
        <w:rPr>
          <w:rFonts w:asciiTheme="minorHAnsi" w:hAnsiTheme="minorHAnsi" w:cs="Arial"/>
        </w:rPr>
        <w:t>GRPT or any other payment mode.</w:t>
      </w:r>
    </w:p>
    <w:p w:rsidR="00FD5421"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bCs/>
          <w:u w:val="single"/>
        </w:rPr>
        <w:t>Amount as per Remittance form</w:t>
      </w:r>
      <w:r w:rsidRPr="0088485D">
        <w:rPr>
          <w:rFonts w:asciiTheme="minorHAnsi" w:hAnsiTheme="minorHAnsi" w:cs="Arial"/>
        </w:rPr>
        <w:t>: Bidder should ensure that the amount being remitted is neither less nor higher than the amount shown in remittance form.</w:t>
      </w:r>
    </w:p>
    <w:p w:rsidR="0042731B"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u w:val="single"/>
        </w:rPr>
        <w:t>UTR Number</w:t>
      </w:r>
      <w:r w:rsidRPr="0088485D">
        <w:rPr>
          <w:rFonts w:asciiTheme="minorHAnsi" w:hAnsiTheme="minorHAnsi" w:cs="Arial"/>
          <w:b/>
        </w:rPr>
        <w:t>:</w:t>
      </w:r>
      <w:r w:rsidRPr="0088485D">
        <w:rPr>
          <w:rFonts w:asciiTheme="minorHAnsi" w:hAnsiTheme="minorHAnsi" w:cs="Arial"/>
        </w:rPr>
        <w:t xml:space="preserve"> Bidders should ensure that the remittance confirmation (UTR number) received after NEFT</w:t>
      </w:r>
      <w:r w:rsidR="00822AC6">
        <w:rPr>
          <w:rFonts w:asciiTheme="minorHAnsi" w:hAnsiTheme="minorHAnsi" w:cs="Arial"/>
        </w:rPr>
        <w:t xml:space="preserve"> / RTGS</w:t>
      </w:r>
      <w:r w:rsidRPr="0088485D">
        <w:rPr>
          <w:rFonts w:asciiTheme="minorHAnsi" w:hAnsiTheme="minorHAnsi" w:cs="Arial"/>
        </w:rPr>
        <w:t xml:space="preserve"> transfer should be updated as it is, in the e-Procurement system for tracking the payment.</w:t>
      </w:r>
    </w:p>
    <w:p w:rsidR="0042731B" w:rsidRPr="00AC4122" w:rsidRDefault="0088485D" w:rsidP="00B11956">
      <w:pPr>
        <w:widowControl w:val="0"/>
        <w:numPr>
          <w:ilvl w:val="1"/>
          <w:numId w:val="7"/>
        </w:numPr>
        <w:overflowPunct w:val="0"/>
        <w:autoSpaceDE w:val="0"/>
        <w:autoSpaceDN w:val="0"/>
        <w:adjustRightInd w:val="0"/>
        <w:spacing w:before="120" w:after="120" w:line="240" w:lineRule="auto"/>
        <w:ind w:left="709" w:hanging="425"/>
        <w:rPr>
          <w:rFonts w:asciiTheme="minorHAnsi" w:hAnsiTheme="minorHAnsi" w:cs="Arial"/>
        </w:rPr>
      </w:pPr>
      <w:r w:rsidRPr="0088485D">
        <w:rPr>
          <w:rFonts w:asciiTheme="minorHAnsi" w:hAnsiTheme="minorHAnsi" w:cs="Arial"/>
          <w:b/>
          <w:u w:val="single"/>
        </w:rPr>
        <w:t>One Remittance Form per Bidder and per Bid:</w:t>
      </w:r>
      <w:r w:rsidRPr="0088485D">
        <w:rPr>
          <w:rFonts w:asciiTheme="minorHAnsi" w:hAnsiTheme="minorHAnsi" w:cs="Arial"/>
        </w:rPr>
        <w:t xml:space="preserve"> The remittance form provided by e-Procurement system shall be valid for that particular bidder and bid and should not be re-used for any other tender or bid or by any other bidder.</w:t>
      </w:r>
    </w:p>
    <w:p w:rsidR="0042731B" w:rsidRPr="00AC4122" w:rsidRDefault="0042731B" w:rsidP="00B11956">
      <w:pPr>
        <w:pStyle w:val="Default"/>
        <w:spacing w:before="120" w:after="120"/>
        <w:ind w:left="420" w:hanging="420"/>
        <w:jc w:val="both"/>
        <w:rPr>
          <w:rFonts w:asciiTheme="minorHAnsi" w:hAnsiTheme="minorHAnsi"/>
          <w:color w:val="auto"/>
        </w:rPr>
      </w:pPr>
    </w:p>
    <w:p w:rsidR="00344347" w:rsidRPr="00AC4122" w:rsidRDefault="0088485D" w:rsidP="00B11956">
      <w:pPr>
        <w:spacing w:before="120" w:after="120" w:line="240" w:lineRule="auto"/>
        <w:rPr>
          <w:rFonts w:asciiTheme="minorHAnsi" w:hAnsiTheme="minorHAnsi"/>
        </w:rPr>
      </w:pPr>
      <w:r w:rsidRPr="0088485D">
        <w:rPr>
          <w:rFonts w:asciiTheme="minorHAnsi" w:hAnsiTheme="minorHAnsi"/>
        </w:rPr>
        <w:t>Any transaction charges levied while using any of the above modes of online payment has be borne by the bidder. The supplier/contractor's bid will be evaluated only if payment status against bidder is showing “Success” during bid opening.</w:t>
      </w:r>
    </w:p>
    <w:p w:rsidR="00344347" w:rsidRPr="00AC4122" w:rsidRDefault="00344347" w:rsidP="00B11956">
      <w:pPr>
        <w:spacing w:before="120" w:after="120" w:line="240" w:lineRule="auto"/>
        <w:rPr>
          <w:rFonts w:asciiTheme="minorHAnsi" w:hAnsiTheme="minorHAnsi"/>
        </w:rPr>
      </w:pPr>
    </w:p>
    <w:p w:rsidR="0042731B" w:rsidRPr="00AC4122" w:rsidRDefault="0088485D" w:rsidP="00B11956">
      <w:pPr>
        <w:pStyle w:val="ListParagraph"/>
        <w:numPr>
          <w:ilvl w:val="0"/>
          <w:numId w:val="8"/>
        </w:numPr>
        <w:tabs>
          <w:tab w:val="left" w:pos="709"/>
        </w:tabs>
        <w:spacing w:before="120" w:after="120"/>
        <w:ind w:hanging="720"/>
        <w:rPr>
          <w:rFonts w:asciiTheme="minorHAnsi" w:hAnsiTheme="minorHAnsi"/>
          <w:b/>
          <w:bCs/>
        </w:rPr>
      </w:pPr>
      <w:r w:rsidRPr="0088485D">
        <w:rPr>
          <w:rFonts w:asciiTheme="minorHAnsi" w:hAnsiTheme="minorHAnsi"/>
          <w:b/>
          <w:bCs/>
        </w:rPr>
        <w:t>SUBMISSION PROCESS:</w:t>
      </w:r>
    </w:p>
    <w:p w:rsidR="00DE27D4" w:rsidRPr="00AC4122" w:rsidRDefault="0088485D" w:rsidP="00B11956">
      <w:pPr>
        <w:tabs>
          <w:tab w:val="left" w:pos="0"/>
        </w:tabs>
        <w:spacing w:before="120" w:after="120"/>
        <w:rPr>
          <w:rFonts w:asciiTheme="minorHAnsi" w:hAnsiTheme="minorHAnsi"/>
        </w:rPr>
      </w:pPr>
      <w:r w:rsidRPr="0088485D">
        <w:rPr>
          <w:rFonts w:asciiTheme="minorHAnsi" w:hAnsiTheme="minorHAnsi"/>
        </w:rPr>
        <w:t xml:space="preserve">For submission of bids, all interested bidders have to register online as explained above in this document. After registration, bidders shall submit their Technical bid and Financial bid online on </w:t>
      </w:r>
      <w:hyperlink r:id="rId15" w:history="1">
        <w:r w:rsidR="00D16F6C">
          <w:rPr>
            <w:rStyle w:val="Hyperlink"/>
            <w:rFonts w:asciiTheme="minorHAnsi" w:hAnsiTheme="minorHAnsi"/>
          </w:rPr>
          <w:t>www.etenders.kerala.gov.in</w:t>
        </w:r>
      </w:hyperlink>
      <w:r w:rsidR="0042731B" w:rsidRPr="00AC4122">
        <w:rPr>
          <w:rFonts w:asciiTheme="minorHAnsi" w:hAnsiTheme="minorHAnsi"/>
        </w:rPr>
        <w:t xml:space="preserve"> along with </w:t>
      </w:r>
      <w:r w:rsidRPr="0088485D">
        <w:rPr>
          <w:rFonts w:asciiTheme="minorHAnsi" w:hAnsiTheme="minorHAnsi"/>
        </w:rPr>
        <w:t>online payment of tender document fees and EMD.</w:t>
      </w:r>
    </w:p>
    <w:p w:rsidR="00DE27D4" w:rsidRPr="00AC4122" w:rsidRDefault="0088485D" w:rsidP="00DE27D4">
      <w:pPr>
        <w:spacing w:before="120" w:after="120" w:line="240" w:lineRule="auto"/>
        <w:ind w:firstLine="720"/>
        <w:rPr>
          <w:rFonts w:asciiTheme="minorHAnsi" w:hAnsiTheme="minorHAnsi"/>
        </w:rPr>
      </w:pPr>
      <w:r w:rsidRPr="0088485D">
        <w:rPr>
          <w:rFonts w:asciiTheme="minorHAnsi" w:hAnsiTheme="minorHAnsi"/>
        </w:rPr>
        <w:t xml:space="preserve">For page by page instructions on bid submission process, please visit </w:t>
      </w:r>
      <w:hyperlink r:id="rId16" w:history="1">
        <w:r w:rsidR="00D16F6C">
          <w:rPr>
            <w:rStyle w:val="Hyperlink"/>
            <w:rFonts w:asciiTheme="minorHAnsi" w:hAnsiTheme="minorHAnsi"/>
          </w:rPr>
          <w:t>www.etenders.kerala.gov.in</w:t>
        </w:r>
      </w:hyperlink>
      <w:r w:rsidR="00DE27D4" w:rsidRPr="00AC4122">
        <w:rPr>
          <w:rFonts w:asciiTheme="minorHAnsi" w:hAnsiTheme="minorHAnsi"/>
        </w:rPr>
        <w:t xml:space="preserve"> and click “Bidders Manual Kit</w:t>
      </w:r>
      <w:r w:rsidRPr="0088485D">
        <w:rPr>
          <w:rFonts w:asciiTheme="minorHAnsi" w:hAnsiTheme="minorHAnsi"/>
        </w:rPr>
        <w:t>” link on the home page.</w:t>
      </w:r>
    </w:p>
    <w:p w:rsidR="0042731B" w:rsidRPr="00DE0E93" w:rsidRDefault="0088485D" w:rsidP="00B11956">
      <w:pPr>
        <w:tabs>
          <w:tab w:val="left" w:pos="0"/>
        </w:tabs>
        <w:spacing w:before="120" w:after="120"/>
        <w:rPr>
          <w:rFonts w:asciiTheme="minorHAnsi" w:hAnsiTheme="minorHAnsi"/>
        </w:rPr>
      </w:pPr>
      <w:r w:rsidRPr="0088485D">
        <w:rPr>
          <w:rFonts w:asciiTheme="minorHAnsi" w:hAnsiTheme="minorHAnsi"/>
          <w:b/>
          <w:bCs/>
        </w:rPr>
        <w:lastRenderedPageBreak/>
        <w:tab/>
        <w:t>It is necessary to click on “Freeze bid” link/ icon to complete the process of bid submission otherwise the bid will not get submitted online and the same shall not be available for viewing/ opening during bid opening process</w:t>
      </w:r>
      <w:r w:rsidR="008944B2" w:rsidRPr="00AC4122">
        <w:rPr>
          <w:rFonts w:asciiTheme="minorHAnsi" w:hAnsiTheme="minorHAnsi"/>
        </w:rPr>
        <w:t>.</w:t>
      </w:r>
    </w:p>
    <w:p w:rsidR="00344347" w:rsidRPr="00DE0E93" w:rsidRDefault="00344347" w:rsidP="00B11956">
      <w:pPr>
        <w:spacing w:before="120" w:after="120" w:line="240" w:lineRule="auto"/>
        <w:rPr>
          <w:rFonts w:asciiTheme="minorHAnsi" w:hAnsiTheme="minorHAnsi"/>
        </w:rPr>
      </w:pPr>
    </w:p>
    <w:p w:rsidR="00AF32B2" w:rsidRPr="0034407C" w:rsidRDefault="00AF32B2" w:rsidP="0034407C">
      <w:pPr>
        <w:spacing w:before="120" w:after="120" w:line="240" w:lineRule="auto"/>
        <w:rPr>
          <w:rFonts w:asciiTheme="minorHAnsi" w:hAnsiTheme="minorHAnsi"/>
          <w:i/>
          <w:u w:val="single"/>
        </w:rPr>
      </w:pPr>
    </w:p>
    <w:p w:rsidR="001677E4" w:rsidRPr="00DE0E93" w:rsidRDefault="001677E4" w:rsidP="00B11956">
      <w:pPr>
        <w:spacing w:before="120" w:after="120"/>
        <w:ind w:left="-284"/>
        <w:rPr>
          <w:rFonts w:asciiTheme="minorHAnsi" w:hAnsiTheme="minorHAnsi"/>
        </w:rPr>
      </w:pPr>
    </w:p>
    <w:sectPr w:rsidR="001677E4" w:rsidRPr="00DE0E93" w:rsidSect="00F561C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4921"/>
    <w:multiLevelType w:val="hybridMultilevel"/>
    <w:tmpl w:val="741A82F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5739A3"/>
    <w:multiLevelType w:val="hybridMultilevel"/>
    <w:tmpl w:val="B34297E2"/>
    <w:lvl w:ilvl="0" w:tplc="4C06DF3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601F47"/>
    <w:multiLevelType w:val="hybridMultilevel"/>
    <w:tmpl w:val="741A82F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A8452B"/>
    <w:multiLevelType w:val="hybridMultilevel"/>
    <w:tmpl w:val="685A9E1E"/>
    <w:lvl w:ilvl="0" w:tplc="3E20AD58">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FA2CA5"/>
    <w:multiLevelType w:val="hybridMultilevel"/>
    <w:tmpl w:val="D340C02E"/>
    <w:lvl w:ilvl="0" w:tplc="2A0C847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D55DF9"/>
    <w:multiLevelType w:val="multilevel"/>
    <w:tmpl w:val="41E67C50"/>
    <w:lvl w:ilvl="0">
      <w:start w:val="1"/>
      <w:numFmt w:val="decimal"/>
      <w:lvlText w:val="%1."/>
      <w:lvlJc w:val="left"/>
      <w:pPr>
        <w:ind w:left="720" w:hanging="360"/>
      </w:pPr>
    </w:lvl>
    <w:lvl w:ilvl="1">
      <w:start w:val="1"/>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6">
    <w:nsid w:val="3A8B132F"/>
    <w:multiLevelType w:val="hybridMultilevel"/>
    <w:tmpl w:val="B01EE364"/>
    <w:lvl w:ilvl="0" w:tplc="40090001">
      <w:start w:val="1"/>
      <w:numFmt w:val="bullet"/>
      <w:lvlText w:val=""/>
      <w:lvlJc w:val="left"/>
      <w:pPr>
        <w:ind w:left="720" w:hanging="360"/>
      </w:pPr>
      <w:rPr>
        <w:rFonts w:ascii="Symbol" w:hAnsi="Symbol" w:hint="default"/>
      </w:rPr>
    </w:lvl>
    <w:lvl w:ilvl="1" w:tplc="4009001B">
      <w:start w:val="1"/>
      <w:numFmt w:val="lowerRoman"/>
      <w:lvlText w:val="%2."/>
      <w:lvlJc w:val="righ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B13857"/>
    <w:multiLevelType w:val="hybridMultilevel"/>
    <w:tmpl w:val="F7369C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FB60EB"/>
    <w:multiLevelType w:val="hybridMultilevel"/>
    <w:tmpl w:val="E2C43D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8"/>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1"/>
    <w:rsid w:val="00024219"/>
    <w:rsid w:val="000762D4"/>
    <w:rsid w:val="00091C8C"/>
    <w:rsid w:val="000971A1"/>
    <w:rsid w:val="000E6026"/>
    <w:rsid w:val="000E7B72"/>
    <w:rsid w:val="001677E4"/>
    <w:rsid w:val="00181216"/>
    <w:rsid w:val="00186B1A"/>
    <w:rsid w:val="0018756A"/>
    <w:rsid w:val="00187A99"/>
    <w:rsid w:val="001A73FE"/>
    <w:rsid w:val="001B276C"/>
    <w:rsid w:val="001C043D"/>
    <w:rsid w:val="001C3BCD"/>
    <w:rsid w:val="001F1287"/>
    <w:rsid w:val="00310303"/>
    <w:rsid w:val="00310C1C"/>
    <w:rsid w:val="00330CA5"/>
    <w:rsid w:val="0034407C"/>
    <w:rsid w:val="00344347"/>
    <w:rsid w:val="00363039"/>
    <w:rsid w:val="00373984"/>
    <w:rsid w:val="003B47B5"/>
    <w:rsid w:val="003C46C7"/>
    <w:rsid w:val="003E4C7D"/>
    <w:rsid w:val="003F5ED1"/>
    <w:rsid w:val="0042731B"/>
    <w:rsid w:val="004413BB"/>
    <w:rsid w:val="004661F6"/>
    <w:rsid w:val="004F6B64"/>
    <w:rsid w:val="00501A4A"/>
    <w:rsid w:val="00503C44"/>
    <w:rsid w:val="00517451"/>
    <w:rsid w:val="005240EA"/>
    <w:rsid w:val="0055274E"/>
    <w:rsid w:val="00565EAC"/>
    <w:rsid w:val="0056781F"/>
    <w:rsid w:val="005904C9"/>
    <w:rsid w:val="005A4DDF"/>
    <w:rsid w:val="005B127E"/>
    <w:rsid w:val="00612039"/>
    <w:rsid w:val="0068718D"/>
    <w:rsid w:val="00687382"/>
    <w:rsid w:val="006F21EC"/>
    <w:rsid w:val="00725F71"/>
    <w:rsid w:val="00732B4E"/>
    <w:rsid w:val="00736AD9"/>
    <w:rsid w:val="007443D1"/>
    <w:rsid w:val="00754B5A"/>
    <w:rsid w:val="008176A3"/>
    <w:rsid w:val="00822AC6"/>
    <w:rsid w:val="00835250"/>
    <w:rsid w:val="0088485D"/>
    <w:rsid w:val="008944B2"/>
    <w:rsid w:val="008A2FBB"/>
    <w:rsid w:val="008E1133"/>
    <w:rsid w:val="008E2A7E"/>
    <w:rsid w:val="0090191B"/>
    <w:rsid w:val="00910E9C"/>
    <w:rsid w:val="00953508"/>
    <w:rsid w:val="00964E96"/>
    <w:rsid w:val="00971444"/>
    <w:rsid w:val="0097699B"/>
    <w:rsid w:val="00980508"/>
    <w:rsid w:val="009A44EF"/>
    <w:rsid w:val="009D3734"/>
    <w:rsid w:val="00A309C4"/>
    <w:rsid w:val="00A63C14"/>
    <w:rsid w:val="00A908FD"/>
    <w:rsid w:val="00A93515"/>
    <w:rsid w:val="00AA2410"/>
    <w:rsid w:val="00AB007A"/>
    <w:rsid w:val="00AC4122"/>
    <w:rsid w:val="00AC42EE"/>
    <w:rsid w:val="00AE205A"/>
    <w:rsid w:val="00AF32B2"/>
    <w:rsid w:val="00B11956"/>
    <w:rsid w:val="00B56FBB"/>
    <w:rsid w:val="00B8221B"/>
    <w:rsid w:val="00BC0D9B"/>
    <w:rsid w:val="00C019D9"/>
    <w:rsid w:val="00C13247"/>
    <w:rsid w:val="00C1741E"/>
    <w:rsid w:val="00C514D7"/>
    <w:rsid w:val="00C57A74"/>
    <w:rsid w:val="00CA2963"/>
    <w:rsid w:val="00CB16ED"/>
    <w:rsid w:val="00D1665B"/>
    <w:rsid w:val="00D16F6C"/>
    <w:rsid w:val="00D731F1"/>
    <w:rsid w:val="00D91727"/>
    <w:rsid w:val="00D96ED9"/>
    <w:rsid w:val="00DB05BC"/>
    <w:rsid w:val="00DE0E93"/>
    <w:rsid w:val="00DE27D4"/>
    <w:rsid w:val="00EC7465"/>
    <w:rsid w:val="00ED0FAF"/>
    <w:rsid w:val="00ED74AB"/>
    <w:rsid w:val="00F2136D"/>
    <w:rsid w:val="00F561C1"/>
    <w:rsid w:val="00FA0279"/>
    <w:rsid w:val="00FB73C7"/>
    <w:rsid w:val="00FD293B"/>
    <w:rsid w:val="00FD5421"/>
    <w:rsid w:val="00FF001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2B7F9-2B1F-427E-8117-DECD5BBF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Kartika"/>
        <w:lang w:val="en-IN" w:eastAsia="en-IN"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1"/>
    <w:pPr>
      <w:spacing w:after="200" w:line="276" w:lineRule="auto"/>
      <w:jc w:val="both"/>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50"/>
    <w:pPr>
      <w:ind w:left="720"/>
      <w:contextualSpacing/>
    </w:pPr>
  </w:style>
  <w:style w:type="character" w:styleId="IntenseReference">
    <w:name w:val="Intense Reference"/>
    <w:basedOn w:val="DefaultParagraphFont"/>
    <w:uiPriority w:val="32"/>
    <w:qFormat/>
    <w:rsid w:val="00835250"/>
    <w:rPr>
      <w:b/>
      <w:bCs/>
      <w:smallCaps/>
      <w:color w:val="C0504D"/>
      <w:spacing w:val="5"/>
      <w:u w:val="single"/>
    </w:rPr>
  </w:style>
  <w:style w:type="character" w:styleId="BookTitle">
    <w:name w:val="Book Title"/>
    <w:basedOn w:val="DefaultParagraphFont"/>
    <w:uiPriority w:val="33"/>
    <w:qFormat/>
    <w:rsid w:val="00835250"/>
    <w:rPr>
      <w:b/>
      <w:bCs/>
      <w:smallCaps/>
      <w:spacing w:val="5"/>
    </w:rPr>
  </w:style>
  <w:style w:type="character" w:styleId="Hyperlink">
    <w:name w:val="Hyperlink"/>
    <w:rsid w:val="00F561C1"/>
    <w:rPr>
      <w:color w:val="0000FF"/>
      <w:u w:val="single"/>
    </w:rPr>
  </w:style>
  <w:style w:type="paragraph" w:customStyle="1" w:styleId="Default">
    <w:name w:val="Default"/>
    <w:rsid w:val="00344347"/>
    <w:pPr>
      <w:autoSpaceDE w:val="0"/>
      <w:autoSpaceDN w:val="0"/>
      <w:adjustRightInd w:val="0"/>
    </w:pPr>
    <w:rPr>
      <w:rFonts w:ascii="Arial" w:hAnsi="Arial" w:cs="Arial"/>
      <w:color w:val="000000"/>
      <w:sz w:val="24"/>
      <w:szCs w:val="24"/>
      <w:lang w:val="en-US" w:eastAsia="en-US" w:bidi="kn-IN"/>
    </w:rPr>
  </w:style>
  <w:style w:type="paragraph" w:styleId="BalloonText">
    <w:name w:val="Balloon Text"/>
    <w:basedOn w:val="Normal"/>
    <w:link w:val="BalloonTextChar"/>
    <w:uiPriority w:val="99"/>
    <w:semiHidden/>
    <w:unhideWhenUsed/>
    <w:rsid w:val="0075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5A"/>
    <w:rPr>
      <w:rFonts w:ascii="Tahoma" w:eastAsia="Calibri" w:hAnsi="Tahoma" w:cs="Tahoma"/>
      <w:sz w:val="16"/>
      <w:szCs w:val="16"/>
      <w:lang w:eastAsia="en-US"/>
    </w:rPr>
  </w:style>
  <w:style w:type="character" w:customStyle="1" w:styleId="sender">
    <w:name w:val="sender"/>
    <w:basedOn w:val="DefaultParagraphFont"/>
    <w:rsid w:val="0059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hyperlink" Target="http://www.etenders.kerala.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tenders.kerala.gov.in" TargetMode="External"/><Relationship Id="rId12" Type="http://schemas.openxmlformats.org/officeDocument/2006/relationships/hyperlink" Target="http://www.etenders.kerala.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enders.kerala.gov.in" TargetMode="External"/><Relationship Id="rId1" Type="http://schemas.openxmlformats.org/officeDocument/2006/relationships/customXml" Target="../customXml/item1.xml"/><Relationship Id="rId6" Type="http://schemas.openxmlformats.org/officeDocument/2006/relationships/hyperlink" Target="http://www.etenders.kerala.gov.in" TargetMode="External"/><Relationship Id="rId11" Type="http://schemas.openxmlformats.org/officeDocument/2006/relationships/hyperlink" Target="mailto:helpetende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mailto:etendershelp@kerala.gov.in" TargetMode="Externa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8BAE-1E33-45E3-A7A2-ED7F5D49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user</cp:lastModifiedBy>
  <cp:revision>2</cp:revision>
  <dcterms:created xsi:type="dcterms:W3CDTF">2017-04-25T05:59:00Z</dcterms:created>
  <dcterms:modified xsi:type="dcterms:W3CDTF">2017-04-25T05:59:00Z</dcterms:modified>
</cp:coreProperties>
</file>